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6E6B" w14:textId="5DE2C0E8" w:rsidR="00561577" w:rsidRPr="00561577" w:rsidRDefault="00561577">
      <w:pPr>
        <w:widowControl/>
        <w:ind w:firstLine="0"/>
        <w:jc w:val="left"/>
        <w:rPr>
          <w:szCs w:val="24"/>
        </w:rPr>
      </w:pPr>
    </w:p>
    <w:tbl>
      <w:tblPr>
        <w:tblStyle w:val="Rcsostblza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88"/>
      </w:tblGrid>
      <w:tr w:rsidR="00561577" w:rsidRPr="00561577" w14:paraId="0AD91277" w14:textId="77777777" w:rsidTr="00561577">
        <w:trPr>
          <w:trHeight w:val="1904"/>
          <w:jc w:val="center"/>
        </w:trPr>
        <w:tc>
          <w:tcPr>
            <w:tcW w:w="284" w:type="dxa"/>
            <w:tcBorders>
              <w:right w:val="single" w:sz="18" w:space="0" w:color="5B9BD5"/>
            </w:tcBorders>
            <w:vAlign w:val="center"/>
          </w:tcPr>
          <w:p w14:paraId="112246B7" w14:textId="77777777" w:rsidR="00561577" w:rsidRPr="00561577" w:rsidRDefault="00561577" w:rsidP="00561577">
            <w:pPr>
              <w:widowControl/>
              <w:ind w:firstLine="0"/>
              <w:jc w:val="right"/>
              <w:rPr>
                <w:rFonts w:ascii="Times New Roman" w:eastAsia="Calibri" w:hAnsi="Times New Roman"/>
                <w:color w:val="4472C4"/>
                <w:sz w:val="22"/>
              </w:rPr>
            </w:pPr>
          </w:p>
        </w:tc>
        <w:tc>
          <w:tcPr>
            <w:tcW w:w="8788" w:type="dxa"/>
            <w:tcBorders>
              <w:left w:val="single" w:sz="18" w:space="0" w:color="5B9BD5"/>
            </w:tcBorders>
            <w:vAlign w:val="center"/>
          </w:tcPr>
          <w:p w14:paraId="6AFF9CA4" w14:textId="3920FB7E" w:rsidR="00561577" w:rsidRPr="00561577" w:rsidRDefault="00561577" w:rsidP="00561577">
            <w:pPr>
              <w:widowControl/>
              <w:spacing w:before="240" w:after="600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caps/>
                <w:color w:val="003068"/>
                <w:spacing w:val="10"/>
                <w:kern w:val="28"/>
                <w:sz w:val="48"/>
                <w:szCs w:val="56"/>
                <w:lang w:eastAsia="hu-HU"/>
                <w14:ligatures w14:val="none"/>
              </w:rPr>
            </w:pPr>
            <w:r w:rsidRPr="00561577">
              <w:rPr>
                <w:rFonts w:ascii="Times New Roman" w:eastAsia="Times New Roman" w:hAnsi="Times New Roman"/>
                <w:b/>
                <w:caps/>
                <w:color w:val="003068"/>
                <w:spacing w:val="10"/>
                <w:kern w:val="28"/>
                <w:sz w:val="48"/>
                <w:szCs w:val="56"/>
                <w:lang w:eastAsia="hu-HU"/>
                <w14:ligatures w14:val="none"/>
              </w:rPr>
              <w:t>KLIMATOLÓGIAI VIZSGÁLATOK</w:t>
            </w:r>
          </w:p>
          <w:p w14:paraId="23D823C3" w14:textId="77777777" w:rsidR="00561577" w:rsidRPr="00561577" w:rsidRDefault="00561577" w:rsidP="00561577">
            <w:pPr>
              <w:widowControl/>
              <w:spacing w:before="240" w:after="600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caps/>
                <w:color w:val="003068"/>
                <w:spacing w:val="10"/>
                <w:kern w:val="28"/>
                <w:sz w:val="48"/>
                <w:szCs w:val="56"/>
                <w:lang w:eastAsia="hu-HU"/>
                <w14:ligatures w14:val="none"/>
              </w:rPr>
            </w:pPr>
          </w:p>
          <w:p w14:paraId="6B292853" w14:textId="69E42680" w:rsidR="00561577" w:rsidRPr="00561577" w:rsidRDefault="00561577" w:rsidP="00561577">
            <w:pPr>
              <w:widowControl/>
              <w:spacing w:before="240" w:after="240"/>
              <w:ind w:firstLine="0"/>
              <w:contextualSpacing/>
              <w:jc w:val="center"/>
              <w:rPr>
                <w:rFonts w:ascii="Times New Roman" w:eastAsia="Times New Roman" w:hAnsi="Times New Roman"/>
                <w:caps/>
                <w:color w:val="003068"/>
                <w:spacing w:val="15"/>
                <w:kern w:val="28"/>
                <w:sz w:val="40"/>
                <w:lang w:eastAsia="hu-HU"/>
                <w14:ligatures w14:val="none"/>
              </w:rPr>
            </w:pPr>
            <w:r w:rsidRPr="00561577">
              <w:rPr>
                <w:rFonts w:ascii="Times New Roman" w:eastAsia="Times New Roman" w:hAnsi="Times New Roman"/>
                <w:caps/>
                <w:color w:val="003068"/>
                <w:spacing w:val="15"/>
                <w:kern w:val="28"/>
                <w:sz w:val="40"/>
                <w:lang w:eastAsia="hu-HU"/>
                <w14:ligatures w14:val="none"/>
              </w:rPr>
              <w:t>Összegzés</w:t>
            </w:r>
          </w:p>
          <w:p w14:paraId="24FCF5F5" w14:textId="77777777" w:rsidR="00561577" w:rsidRPr="00561577" w:rsidRDefault="00561577" w:rsidP="0056157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lang w:eastAsia="hu-HU"/>
              </w:rPr>
            </w:pPr>
          </w:p>
          <w:p w14:paraId="177490F2" w14:textId="77777777" w:rsidR="00561577" w:rsidRPr="00561577" w:rsidRDefault="00561577" w:rsidP="0056157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lang w:eastAsia="hu-HU"/>
              </w:rPr>
            </w:pPr>
          </w:p>
          <w:p w14:paraId="6DE95EB1" w14:textId="77777777" w:rsidR="00561577" w:rsidRPr="00561577" w:rsidRDefault="00561577" w:rsidP="00561577">
            <w:pPr>
              <w:widowControl/>
              <w:spacing w:after="240"/>
              <w:ind w:firstLine="0"/>
              <w:jc w:val="center"/>
              <w:rPr>
                <w:rFonts w:ascii="Times New Roman" w:eastAsia="Calibri" w:hAnsi="Times New Roman"/>
                <w:i/>
                <w:iCs/>
                <w:color w:val="404040"/>
                <w:sz w:val="28"/>
              </w:rPr>
            </w:pPr>
            <w:r w:rsidRPr="00561577">
              <w:rPr>
                <w:rFonts w:ascii="Times New Roman" w:eastAsia="Calibri" w:hAnsi="Times New Roman"/>
                <w:i/>
                <w:iCs/>
                <w:color w:val="404040"/>
                <w:sz w:val="28"/>
              </w:rPr>
              <w:t xml:space="preserve">Készült a </w:t>
            </w:r>
            <w:r w:rsidRPr="00561577">
              <w:rPr>
                <w:rFonts w:ascii="Times New Roman" w:eastAsia="Calibri" w:hAnsi="Times New Roman"/>
                <w:b/>
                <w:i/>
                <w:iCs/>
                <w:color w:val="404040"/>
                <w:sz w:val="28"/>
              </w:rPr>
              <w:t xml:space="preserve">„Kritikus energetikai infrastruktúra elemek </w:t>
            </w:r>
            <w:r w:rsidRPr="00561577">
              <w:rPr>
                <w:rFonts w:ascii="Times New Roman" w:eastAsia="Calibri" w:hAnsi="Times New Roman"/>
                <w:b/>
                <w:i/>
                <w:iCs/>
                <w:color w:val="404040"/>
                <w:sz w:val="28"/>
              </w:rPr>
              <w:br/>
              <w:t xml:space="preserve">(villamosenergia-, gáz-, távhőrendszerek) éghajlati </w:t>
            </w:r>
            <w:r w:rsidRPr="00561577">
              <w:rPr>
                <w:rFonts w:ascii="Times New Roman" w:eastAsia="Calibri" w:hAnsi="Times New Roman"/>
                <w:b/>
                <w:i/>
                <w:iCs/>
                <w:color w:val="404040"/>
                <w:sz w:val="28"/>
              </w:rPr>
              <w:br/>
              <w:t>és földtani sérülékenységének értékelése”</w:t>
            </w:r>
            <w:r w:rsidRPr="00561577">
              <w:rPr>
                <w:rFonts w:ascii="Times New Roman" w:eastAsia="Calibri" w:hAnsi="Times New Roman"/>
                <w:i/>
                <w:iCs/>
                <w:color w:val="404040"/>
                <w:sz w:val="28"/>
              </w:rPr>
              <w:t xml:space="preserve"> c. projekt keretében</w:t>
            </w:r>
          </w:p>
          <w:p w14:paraId="2CE290C8" w14:textId="77777777" w:rsidR="00561577" w:rsidRPr="00561577" w:rsidRDefault="00561577" w:rsidP="00561577">
            <w:pPr>
              <w:widowControl/>
              <w:spacing w:after="240"/>
              <w:ind w:firstLine="0"/>
              <w:jc w:val="center"/>
              <w:rPr>
                <w:rFonts w:ascii="Times New Roman" w:eastAsia="Calibri" w:hAnsi="Times New Roman"/>
                <w:i/>
                <w:iCs/>
                <w:color w:val="404040"/>
                <w:sz w:val="28"/>
              </w:rPr>
            </w:pPr>
            <w:r w:rsidRPr="00561577">
              <w:rPr>
                <w:rFonts w:ascii="Times New Roman" w:eastAsia="Calibri" w:hAnsi="Times New Roman"/>
                <w:i/>
                <w:iCs/>
                <w:color w:val="404040"/>
                <w:sz w:val="28"/>
              </w:rPr>
              <w:t>2023</w:t>
            </w:r>
          </w:p>
        </w:tc>
      </w:tr>
    </w:tbl>
    <w:p w14:paraId="44A60F7C" w14:textId="77777777" w:rsidR="00561577" w:rsidRPr="00561577" w:rsidRDefault="00561577" w:rsidP="00561577">
      <w:pPr>
        <w:widowControl/>
        <w:spacing w:after="160" w:line="259" w:lineRule="auto"/>
        <w:ind w:firstLine="0"/>
        <w:jc w:val="left"/>
        <w:rPr>
          <w:rFonts w:eastAsia="Calibri"/>
          <w:sz w:val="22"/>
          <w:szCs w:val="22"/>
        </w:rPr>
      </w:pPr>
    </w:p>
    <w:p w14:paraId="31ACE0FD" w14:textId="77777777" w:rsidR="00561577" w:rsidRPr="00561577" w:rsidRDefault="00561577" w:rsidP="00561577">
      <w:pPr>
        <w:widowControl/>
        <w:spacing w:after="160" w:line="259" w:lineRule="auto"/>
        <w:ind w:firstLine="0"/>
        <w:jc w:val="left"/>
        <w:rPr>
          <w:rFonts w:eastAsia="Calibri"/>
          <w:sz w:val="22"/>
          <w:szCs w:val="22"/>
        </w:rPr>
      </w:pPr>
    </w:p>
    <w:p w14:paraId="504014B0" w14:textId="77777777" w:rsidR="00561577" w:rsidRPr="00561577" w:rsidRDefault="00561577" w:rsidP="00561577">
      <w:pPr>
        <w:widowControl/>
        <w:spacing w:after="160" w:line="259" w:lineRule="auto"/>
        <w:ind w:firstLine="0"/>
        <w:jc w:val="center"/>
        <w:rPr>
          <w:rFonts w:eastAsia="MS Mincho"/>
          <w:color w:val="003068"/>
          <w:sz w:val="22"/>
          <w:szCs w:val="22"/>
        </w:rPr>
      </w:pPr>
    </w:p>
    <w:p w14:paraId="4566886B" w14:textId="77777777" w:rsidR="00561577" w:rsidRPr="00561577" w:rsidRDefault="00561577" w:rsidP="00561577">
      <w:pPr>
        <w:widowControl/>
        <w:spacing w:after="160" w:line="259" w:lineRule="auto"/>
        <w:ind w:firstLine="0"/>
        <w:jc w:val="center"/>
        <w:rPr>
          <w:rFonts w:eastAsia="MS Mincho"/>
          <w:b/>
          <w:bCs/>
          <w:color w:val="003068"/>
          <w:sz w:val="32"/>
          <w:szCs w:val="32"/>
        </w:rPr>
      </w:pPr>
      <w:r w:rsidRPr="00561577">
        <w:rPr>
          <w:rFonts w:eastAsia="MS Mincho"/>
          <w:b/>
          <w:bCs/>
          <w:color w:val="003068"/>
          <w:sz w:val="32"/>
          <w:szCs w:val="32"/>
        </w:rPr>
        <w:t>Készítette:</w:t>
      </w:r>
    </w:p>
    <w:p w14:paraId="098C3A9B" w14:textId="54E8B279" w:rsidR="00561577" w:rsidRPr="00561577" w:rsidRDefault="00561577" w:rsidP="00561577">
      <w:pPr>
        <w:widowControl/>
        <w:spacing w:after="160" w:line="259" w:lineRule="auto"/>
        <w:ind w:firstLine="0"/>
        <w:jc w:val="center"/>
        <w:rPr>
          <w:rFonts w:eastAsia="MS Mincho"/>
          <w:color w:val="003068"/>
          <w:sz w:val="28"/>
          <w:szCs w:val="28"/>
        </w:rPr>
      </w:pPr>
      <w:r w:rsidRPr="00561577">
        <w:rPr>
          <w:rFonts w:eastAsia="MS Mincho"/>
          <w:color w:val="003068"/>
          <w:sz w:val="28"/>
          <w:szCs w:val="28"/>
        </w:rPr>
        <w:t xml:space="preserve">az </w:t>
      </w:r>
      <w:r w:rsidRPr="00561577">
        <w:rPr>
          <w:rFonts w:eastAsia="MS Mincho"/>
          <w:color w:val="003068"/>
          <w:sz w:val="28"/>
          <w:szCs w:val="28"/>
        </w:rPr>
        <w:t>Energiastratégia Intézet Nonprofit Kft.</w:t>
      </w:r>
      <w:r w:rsidRPr="00561577">
        <w:rPr>
          <w:rFonts w:eastAsia="MS Mincho"/>
          <w:color w:val="003068"/>
          <w:sz w:val="28"/>
          <w:szCs w:val="28"/>
        </w:rPr>
        <w:t xml:space="preserve"> megbízásából</w:t>
      </w:r>
    </w:p>
    <w:p w14:paraId="51D24008" w14:textId="068ADF3D" w:rsidR="00561577" w:rsidRPr="00561577" w:rsidRDefault="00561577" w:rsidP="00561577">
      <w:pPr>
        <w:widowControl/>
        <w:spacing w:after="160" w:line="259" w:lineRule="auto"/>
        <w:ind w:firstLine="0"/>
        <w:jc w:val="center"/>
        <w:rPr>
          <w:rFonts w:eastAsia="MS Mincho"/>
          <w:color w:val="003068"/>
          <w:sz w:val="28"/>
          <w:szCs w:val="28"/>
        </w:rPr>
      </w:pPr>
      <w:r w:rsidRPr="00561577">
        <w:rPr>
          <w:rFonts w:eastAsia="MS Mincho"/>
          <w:color w:val="003068"/>
          <w:sz w:val="28"/>
          <w:szCs w:val="28"/>
        </w:rPr>
        <w:t>Szabó Péter</w:t>
      </w:r>
    </w:p>
    <w:p w14:paraId="63B0F598" w14:textId="36AA6BAD" w:rsidR="00561577" w:rsidRPr="00561577" w:rsidRDefault="00561577" w:rsidP="00561577">
      <w:pPr>
        <w:widowControl/>
        <w:spacing w:after="160" w:line="259" w:lineRule="auto"/>
        <w:ind w:firstLine="0"/>
        <w:jc w:val="center"/>
        <w:rPr>
          <w:rFonts w:eastAsia="MS Mincho"/>
          <w:color w:val="003068"/>
          <w:sz w:val="22"/>
          <w:szCs w:val="22"/>
        </w:rPr>
      </w:pPr>
      <w:r w:rsidRPr="00561577">
        <w:rPr>
          <w:rFonts w:eastAsia="MS Mincho"/>
          <w:color w:val="003068"/>
          <w:sz w:val="22"/>
          <w:szCs w:val="22"/>
        </w:rPr>
        <w:t>Közreműködők: Ballabás Gábor, Müller Olga, Dr. Maigut Vera, Selmeczi János Pál, Taksz Lilla</w:t>
      </w:r>
    </w:p>
    <w:p w14:paraId="16CAA548" w14:textId="77777777" w:rsidR="00561577" w:rsidRPr="00561577" w:rsidRDefault="00561577" w:rsidP="00561577">
      <w:pPr>
        <w:widowControl/>
        <w:spacing w:after="160" w:line="259" w:lineRule="auto"/>
        <w:ind w:firstLine="0"/>
        <w:jc w:val="center"/>
        <w:rPr>
          <w:rFonts w:eastAsia="MS Mincho"/>
          <w:color w:val="003068"/>
          <w:sz w:val="22"/>
          <w:szCs w:val="22"/>
        </w:rPr>
      </w:pPr>
    </w:p>
    <w:p w14:paraId="7733858F" w14:textId="77777777" w:rsidR="00561577" w:rsidRPr="00561577" w:rsidRDefault="00561577" w:rsidP="00561577">
      <w:pPr>
        <w:widowControl/>
        <w:spacing w:after="160" w:line="259" w:lineRule="auto"/>
        <w:ind w:firstLine="0"/>
        <w:jc w:val="center"/>
        <w:rPr>
          <w:rFonts w:eastAsia="Calibri"/>
          <w:b/>
          <w:bCs/>
          <w:color w:val="003068"/>
          <w:sz w:val="28"/>
          <w:szCs w:val="28"/>
        </w:rPr>
      </w:pPr>
      <w:r w:rsidRPr="00561577">
        <w:rPr>
          <w:rFonts w:eastAsia="Calibri"/>
          <w:b/>
          <w:bCs/>
          <w:color w:val="003068"/>
          <w:sz w:val="28"/>
          <w:szCs w:val="28"/>
        </w:rPr>
        <w:t>Közreműködő szakmai partnerek:</w:t>
      </w:r>
    </w:p>
    <w:p w14:paraId="0E97A6F4" w14:textId="77777777" w:rsidR="00561577" w:rsidRPr="00561577" w:rsidRDefault="00561577" w:rsidP="00561577">
      <w:pPr>
        <w:widowControl/>
        <w:spacing w:after="160" w:line="259" w:lineRule="auto"/>
        <w:ind w:firstLine="0"/>
        <w:jc w:val="center"/>
        <w:rPr>
          <w:rFonts w:eastAsia="Calibri"/>
          <w:bCs/>
          <w:color w:val="002060"/>
          <w:sz w:val="22"/>
          <w:szCs w:val="24"/>
        </w:rPr>
      </w:pPr>
      <w:r w:rsidRPr="00561577">
        <w:rPr>
          <w:rFonts w:eastAsia="Calibri"/>
          <w:bCs/>
          <w:color w:val="002060"/>
          <w:sz w:val="22"/>
          <w:szCs w:val="24"/>
        </w:rPr>
        <w:t>FGSZ Földgázszállító Zrt. (FGSZ Zrt.)</w:t>
      </w:r>
    </w:p>
    <w:p w14:paraId="6AEC969C" w14:textId="77777777" w:rsidR="00561577" w:rsidRPr="00561577" w:rsidRDefault="00561577" w:rsidP="00561577">
      <w:pPr>
        <w:widowControl/>
        <w:spacing w:after="160" w:line="259" w:lineRule="auto"/>
        <w:ind w:firstLine="0"/>
        <w:jc w:val="center"/>
        <w:rPr>
          <w:rFonts w:eastAsia="Calibri"/>
          <w:bCs/>
          <w:color w:val="002060"/>
          <w:sz w:val="22"/>
          <w:szCs w:val="24"/>
        </w:rPr>
      </w:pPr>
      <w:r w:rsidRPr="00561577">
        <w:rPr>
          <w:rFonts w:eastAsia="Calibri"/>
          <w:bCs/>
          <w:color w:val="002060"/>
          <w:sz w:val="22"/>
          <w:szCs w:val="24"/>
        </w:rPr>
        <w:t>Magyar Energetikai és Közműszabályozási Hivatal (MEKH)</w:t>
      </w:r>
    </w:p>
    <w:p w14:paraId="115AD2D0" w14:textId="77777777" w:rsidR="00561577" w:rsidRPr="00561577" w:rsidRDefault="00561577" w:rsidP="00561577">
      <w:pPr>
        <w:widowControl/>
        <w:spacing w:after="160" w:line="259" w:lineRule="auto"/>
        <w:ind w:firstLine="0"/>
        <w:jc w:val="center"/>
        <w:rPr>
          <w:rFonts w:eastAsia="Calibri"/>
          <w:bCs/>
          <w:color w:val="002060"/>
          <w:sz w:val="22"/>
          <w:szCs w:val="24"/>
        </w:rPr>
      </w:pPr>
      <w:r w:rsidRPr="00561577">
        <w:rPr>
          <w:rFonts w:eastAsia="Calibri"/>
          <w:bCs/>
          <w:color w:val="002060"/>
          <w:sz w:val="22"/>
          <w:szCs w:val="24"/>
        </w:rPr>
        <w:t>Magyar Távhőszolgáltatók Szakmai Szövetsége (</w:t>
      </w:r>
      <w:proofErr w:type="spellStart"/>
      <w:r w:rsidRPr="00561577">
        <w:rPr>
          <w:rFonts w:eastAsia="Calibri"/>
          <w:bCs/>
          <w:color w:val="002060"/>
          <w:sz w:val="22"/>
          <w:szCs w:val="24"/>
        </w:rPr>
        <w:t>MaTáSzSz</w:t>
      </w:r>
      <w:proofErr w:type="spellEnd"/>
      <w:r w:rsidRPr="00561577">
        <w:rPr>
          <w:rFonts w:eastAsia="Calibri"/>
          <w:bCs/>
          <w:color w:val="002060"/>
          <w:sz w:val="22"/>
          <w:szCs w:val="24"/>
        </w:rPr>
        <w:t>)</w:t>
      </w:r>
    </w:p>
    <w:p w14:paraId="64563E04" w14:textId="77777777" w:rsidR="00561577" w:rsidRPr="00561577" w:rsidRDefault="00561577" w:rsidP="00561577">
      <w:pPr>
        <w:widowControl/>
        <w:spacing w:after="160" w:line="259" w:lineRule="auto"/>
        <w:ind w:firstLine="0"/>
        <w:jc w:val="center"/>
        <w:rPr>
          <w:rFonts w:eastAsia="Calibri"/>
          <w:bCs/>
          <w:color w:val="002060"/>
          <w:sz w:val="22"/>
          <w:szCs w:val="24"/>
        </w:rPr>
      </w:pPr>
      <w:r w:rsidRPr="00561577">
        <w:rPr>
          <w:rFonts w:eastAsia="Calibri"/>
          <w:bCs/>
          <w:color w:val="002060"/>
          <w:sz w:val="22"/>
          <w:szCs w:val="24"/>
          <w:highlight w:val="white"/>
        </w:rPr>
        <w:t>Magyar Villamosenergia-ipari Átviteli Rendszerirányító Zrt. (MAVIR Zrt.)</w:t>
      </w:r>
    </w:p>
    <w:p w14:paraId="663D2465" w14:textId="08430A96" w:rsidR="00561577" w:rsidRPr="00561577" w:rsidRDefault="00561577" w:rsidP="00561577">
      <w:pPr>
        <w:widowControl/>
        <w:spacing w:after="160" w:line="259" w:lineRule="auto"/>
        <w:ind w:firstLine="0"/>
        <w:jc w:val="center"/>
        <w:rPr>
          <w:rFonts w:eastAsia="Calibri"/>
          <w:bCs/>
          <w:color w:val="002060"/>
          <w:sz w:val="22"/>
          <w:szCs w:val="24"/>
        </w:rPr>
      </w:pPr>
      <w:r w:rsidRPr="00561577">
        <w:rPr>
          <w:rFonts w:eastAsia="Calibri"/>
          <w:bCs/>
          <w:color w:val="002060"/>
          <w:sz w:val="22"/>
          <w:szCs w:val="24"/>
        </w:rPr>
        <w:t>Eötvös Loránd Tudományegyetem, Meteorológiai Tanszék</w:t>
      </w:r>
    </w:p>
    <w:p w14:paraId="23BA0B97" w14:textId="4EA9C672" w:rsidR="00561577" w:rsidRPr="00561577" w:rsidRDefault="00561577" w:rsidP="00561577">
      <w:pPr>
        <w:widowControl/>
        <w:spacing w:after="160" w:line="259" w:lineRule="auto"/>
        <w:ind w:firstLine="0"/>
        <w:jc w:val="center"/>
        <w:rPr>
          <w:rFonts w:eastAsia="Calibri"/>
          <w:bCs/>
          <w:color w:val="002060"/>
          <w:sz w:val="22"/>
          <w:szCs w:val="24"/>
        </w:rPr>
      </w:pPr>
      <w:r w:rsidRPr="00561577">
        <w:rPr>
          <w:rFonts w:eastAsia="Calibri"/>
          <w:bCs/>
          <w:color w:val="002060"/>
          <w:sz w:val="22"/>
          <w:szCs w:val="24"/>
        </w:rPr>
        <w:t>Országos Meteorológiai Szolgálat</w:t>
      </w:r>
    </w:p>
    <w:p w14:paraId="5B961218" w14:textId="77777777" w:rsidR="00561577" w:rsidRPr="00561577" w:rsidRDefault="00561577" w:rsidP="00561577">
      <w:pPr>
        <w:widowControl/>
        <w:spacing w:after="160" w:line="259" w:lineRule="auto"/>
        <w:ind w:left="720" w:hanging="360"/>
        <w:jc w:val="left"/>
        <w:rPr>
          <w:rFonts w:eastAsia="Calibri"/>
          <w:sz w:val="22"/>
          <w:szCs w:val="22"/>
        </w:rPr>
      </w:pPr>
    </w:p>
    <w:p w14:paraId="3B77D50E" w14:textId="77777777" w:rsidR="00561577" w:rsidRPr="00561577" w:rsidRDefault="00561577" w:rsidP="006B0B8A">
      <w:pPr>
        <w:rPr>
          <w:szCs w:val="24"/>
        </w:rPr>
      </w:pPr>
    </w:p>
    <w:p w14:paraId="6AEE8EF7" w14:textId="6E14DE7A" w:rsidR="00B60889" w:rsidRPr="00561577" w:rsidRDefault="006B0B8A" w:rsidP="001B2586">
      <w:pPr>
        <w:pStyle w:val="Cmsor1"/>
        <w:pageBreakBefore/>
        <w:widowControl/>
        <w:spacing w:before="120" w:after="120"/>
        <w:ind w:left="431" w:hanging="431"/>
        <w:rPr>
          <w:rFonts w:ascii="Times New Roman" w:hAnsi="Times New Roman" w:cs="Times New Roman"/>
          <w:b/>
          <w:bCs/>
        </w:rPr>
      </w:pPr>
      <w:r w:rsidRPr="00561577">
        <w:rPr>
          <w:rFonts w:ascii="Times New Roman" w:hAnsi="Times New Roman" w:cs="Times New Roman"/>
          <w:b/>
          <w:bCs/>
          <w:color w:val="auto"/>
        </w:rPr>
        <w:lastRenderedPageBreak/>
        <w:t xml:space="preserve">1. </w:t>
      </w:r>
      <w:r w:rsidR="009D3F1B" w:rsidRPr="00561577">
        <w:rPr>
          <w:rFonts w:ascii="Times New Roman" w:hAnsi="Times New Roman" w:cs="Times New Roman"/>
          <w:b/>
          <w:bCs/>
          <w:color w:val="auto"/>
        </w:rPr>
        <w:t>Bevezetés</w:t>
      </w:r>
    </w:p>
    <w:p w14:paraId="6EFF69E0" w14:textId="09B34300" w:rsidR="00B60889" w:rsidRPr="00561577" w:rsidRDefault="009F02C9" w:rsidP="00942C4F">
      <w:pPr>
        <w:widowControl/>
        <w:spacing w:before="120" w:after="120"/>
        <w:ind w:firstLine="567"/>
        <w:contextualSpacing/>
        <w:rPr>
          <w:szCs w:val="24"/>
        </w:rPr>
      </w:pPr>
      <w:r w:rsidRPr="00561577">
        <w:rPr>
          <w:szCs w:val="24"/>
        </w:rPr>
        <w:t>Az épített környezet, így az energetikai infrastruktúra legtöbb eleme is érzékeny az éghajlatváltozás okozta szélsőséges</w:t>
      </w:r>
      <w:r w:rsidR="00B60889" w:rsidRPr="00561577">
        <w:rPr>
          <w:szCs w:val="24"/>
        </w:rPr>
        <w:t>ebb</w:t>
      </w:r>
      <w:r w:rsidRPr="00561577">
        <w:rPr>
          <w:szCs w:val="24"/>
        </w:rPr>
        <w:t xml:space="preserve"> </w:t>
      </w:r>
      <w:r w:rsidR="00584C5D" w:rsidRPr="00561577">
        <w:rPr>
          <w:szCs w:val="24"/>
        </w:rPr>
        <w:t xml:space="preserve">vagy a jelenlegitől </w:t>
      </w:r>
      <w:r w:rsidR="00B60889" w:rsidRPr="00561577">
        <w:rPr>
          <w:szCs w:val="24"/>
        </w:rPr>
        <w:t xml:space="preserve">jelentősen </w:t>
      </w:r>
      <w:r w:rsidR="00584C5D" w:rsidRPr="00561577">
        <w:rPr>
          <w:szCs w:val="24"/>
        </w:rPr>
        <w:t xml:space="preserve">megváltozott </w:t>
      </w:r>
      <w:r w:rsidRPr="00561577">
        <w:rPr>
          <w:szCs w:val="24"/>
        </w:rPr>
        <w:t>időjárási helyzetekre. A</w:t>
      </w:r>
      <w:r w:rsidR="002301E5" w:rsidRPr="00561577">
        <w:rPr>
          <w:szCs w:val="24"/>
        </w:rPr>
        <w:t xml:space="preserve">z ember jövőbeli gazdasági és társadalmi folyamatai csak hipotetikus forgatókönyvek mentén </w:t>
      </w:r>
      <w:r w:rsidR="00584C5D" w:rsidRPr="00561577">
        <w:rPr>
          <w:szCs w:val="24"/>
        </w:rPr>
        <w:t>írhatók le</w:t>
      </w:r>
      <w:r w:rsidR="002301E5" w:rsidRPr="00561577">
        <w:rPr>
          <w:szCs w:val="24"/>
        </w:rPr>
        <w:t>, ugyanakkor</w:t>
      </w:r>
      <w:r w:rsidR="00584C5D" w:rsidRPr="00561577">
        <w:rPr>
          <w:szCs w:val="24"/>
        </w:rPr>
        <w:t xml:space="preserve"> </w:t>
      </w:r>
      <w:r w:rsidR="008C5884" w:rsidRPr="00561577">
        <w:rPr>
          <w:szCs w:val="24"/>
        </w:rPr>
        <w:t xml:space="preserve">globális </w:t>
      </w:r>
      <w:r w:rsidR="00584C5D" w:rsidRPr="00561577">
        <w:rPr>
          <w:szCs w:val="24"/>
        </w:rPr>
        <w:t>klímamodellekkel számszerű választ tudunk adni arra, hogy a</w:t>
      </w:r>
      <w:r w:rsidR="008C5884" w:rsidRPr="00561577">
        <w:rPr>
          <w:szCs w:val="24"/>
        </w:rPr>
        <w:t xml:space="preserve"> teljes földi</w:t>
      </w:r>
      <w:r w:rsidR="00584C5D" w:rsidRPr="00561577">
        <w:rPr>
          <w:szCs w:val="24"/>
        </w:rPr>
        <w:t xml:space="preserve"> éghajlati rendszer hogyan reagál egy megváltozott jövőbeli üvegházgáz-koncentrációra és az általa kiváltott extra sugárzási kényszerre.</w:t>
      </w:r>
      <w:r w:rsidR="00C31472" w:rsidRPr="00561577">
        <w:rPr>
          <w:szCs w:val="24"/>
        </w:rPr>
        <w:t xml:space="preserve"> Ezek hazánkra vonatkozó</w:t>
      </w:r>
      <w:r w:rsidR="008C5884" w:rsidRPr="00561577">
        <w:rPr>
          <w:szCs w:val="24"/>
        </w:rPr>
        <w:t xml:space="preserve"> </w:t>
      </w:r>
      <w:r w:rsidR="00C31472" w:rsidRPr="00561577">
        <w:rPr>
          <w:szCs w:val="24"/>
        </w:rPr>
        <w:t>eredményeit pedig regionális éghajlati modellek által érhetjük el.</w:t>
      </w:r>
      <w:r w:rsidR="00584C5D" w:rsidRPr="00561577">
        <w:rPr>
          <w:szCs w:val="24"/>
        </w:rPr>
        <w:t xml:space="preserve"> </w:t>
      </w:r>
      <w:r w:rsidR="00D529F5" w:rsidRPr="00561577">
        <w:rPr>
          <w:szCs w:val="24"/>
        </w:rPr>
        <w:t>A kitettség-érzékenység-várható hatás rendszerében egyértelműen az éghajlati kitettség, azaz az adott földrajzi helyre jellemző éghajlatváltozás az, amely változó elemként a</w:t>
      </w:r>
      <w:r w:rsidR="00B60889" w:rsidRPr="00561577">
        <w:rPr>
          <w:szCs w:val="24"/>
        </w:rPr>
        <w:t xml:space="preserve">z infrastruktúra rendszer </w:t>
      </w:r>
      <w:r w:rsidR="00D529F5" w:rsidRPr="00561577">
        <w:rPr>
          <w:szCs w:val="24"/>
        </w:rPr>
        <w:t>sérülékenységet leginkább befolyásolja</w:t>
      </w:r>
      <w:r w:rsidRPr="00561577">
        <w:rPr>
          <w:szCs w:val="24"/>
        </w:rPr>
        <w:t>.</w:t>
      </w:r>
    </w:p>
    <w:p w14:paraId="62EC0D43" w14:textId="6644D0DC" w:rsidR="009D3F1B" w:rsidRPr="00561577" w:rsidRDefault="006B0B8A" w:rsidP="00942C4F">
      <w:pPr>
        <w:pStyle w:val="Cmsor1"/>
        <w:widowControl/>
        <w:spacing w:before="120" w:after="120"/>
        <w:ind w:left="431" w:hanging="431"/>
        <w:rPr>
          <w:rFonts w:ascii="Times New Roman" w:hAnsi="Times New Roman" w:cs="Times New Roman"/>
          <w:b/>
          <w:bCs/>
          <w:color w:val="auto"/>
        </w:rPr>
      </w:pPr>
      <w:r w:rsidRPr="00561577">
        <w:rPr>
          <w:rFonts w:ascii="Times New Roman" w:hAnsi="Times New Roman" w:cs="Times New Roman"/>
          <w:b/>
          <w:bCs/>
          <w:color w:val="auto"/>
        </w:rPr>
        <w:t xml:space="preserve">2. </w:t>
      </w:r>
      <w:r w:rsidR="00D529F5" w:rsidRPr="00561577">
        <w:rPr>
          <w:rFonts w:ascii="Times New Roman" w:hAnsi="Times New Roman" w:cs="Times New Roman"/>
          <w:b/>
          <w:bCs/>
          <w:color w:val="auto"/>
        </w:rPr>
        <w:t>Módszertan</w:t>
      </w:r>
    </w:p>
    <w:p w14:paraId="7E5C99DD" w14:textId="6088A64B" w:rsidR="00313182" w:rsidRPr="00561577" w:rsidRDefault="00313182" w:rsidP="006B0B8A">
      <w:pPr>
        <w:rPr>
          <w:szCs w:val="24"/>
        </w:rPr>
      </w:pPr>
      <w:r w:rsidRPr="00561577">
        <w:rPr>
          <w:sz w:val="22"/>
          <w:szCs w:val="22"/>
        </w:rPr>
        <w:t>A</w:t>
      </w:r>
      <w:r w:rsidR="005B323F" w:rsidRPr="00561577">
        <w:rPr>
          <w:sz w:val="22"/>
          <w:szCs w:val="22"/>
        </w:rPr>
        <w:t xml:space="preserve"> </w:t>
      </w:r>
      <w:r w:rsidR="005B323F" w:rsidRPr="00561577">
        <w:rPr>
          <w:szCs w:val="24"/>
        </w:rPr>
        <w:t>klimatológiai elemzés</w:t>
      </w:r>
      <w:r w:rsidRPr="00561577">
        <w:rPr>
          <w:szCs w:val="24"/>
        </w:rPr>
        <w:t xml:space="preserve"> kidolgozása során a következő lépések mentén haladtunk:</w:t>
      </w:r>
    </w:p>
    <w:p w14:paraId="21C6D6B4" w14:textId="2C65D4BE" w:rsidR="00313182" w:rsidRPr="00561577" w:rsidRDefault="00313182" w:rsidP="00561577">
      <w:pPr>
        <w:pStyle w:val="Listaszerbekezds"/>
        <w:numPr>
          <w:ilvl w:val="0"/>
          <w:numId w:val="5"/>
        </w:numPr>
        <w:ind w:left="709"/>
        <w:rPr>
          <w:b/>
          <w:bCs/>
          <w:szCs w:val="24"/>
        </w:rPr>
      </w:pPr>
      <w:r w:rsidRPr="00561577">
        <w:rPr>
          <w:szCs w:val="24"/>
        </w:rPr>
        <w:t>A „NATéR továbbfejlesztése” című, KEHOP-1.1.0-15-2016-00007 azonosítószámú projektben megkezdett, a távhő-, földgáz- és villamosenergia-ellátás éghajlati sérülékenységét vizsgáló módszertan áttekintése.</w:t>
      </w:r>
    </w:p>
    <w:p w14:paraId="4F83DD16" w14:textId="4D03979A" w:rsidR="00313182" w:rsidRPr="00561577" w:rsidRDefault="00313182" w:rsidP="00561577">
      <w:pPr>
        <w:pStyle w:val="Listaszerbekezds"/>
        <w:numPr>
          <w:ilvl w:val="0"/>
          <w:numId w:val="5"/>
        </w:numPr>
        <w:ind w:left="709"/>
        <w:rPr>
          <w:b/>
          <w:bCs/>
          <w:szCs w:val="24"/>
        </w:rPr>
      </w:pPr>
      <w:r w:rsidRPr="00561577">
        <w:rPr>
          <w:szCs w:val="24"/>
        </w:rPr>
        <w:t xml:space="preserve">A nemzetközi szakirodalom </w:t>
      </w:r>
      <w:r w:rsidR="003D091E" w:rsidRPr="00561577">
        <w:rPr>
          <w:szCs w:val="24"/>
        </w:rPr>
        <w:t>összegyűjtése és átnézése</w:t>
      </w:r>
      <w:r w:rsidRPr="00561577">
        <w:rPr>
          <w:szCs w:val="24"/>
        </w:rPr>
        <w:t>, amely az energia</w:t>
      </w:r>
      <w:r w:rsidR="003D091E" w:rsidRPr="00561577">
        <w:rPr>
          <w:szCs w:val="24"/>
        </w:rPr>
        <w:t>termelés</w:t>
      </w:r>
      <w:r w:rsidRPr="00561577">
        <w:rPr>
          <w:szCs w:val="24"/>
        </w:rPr>
        <w:t xml:space="preserve"> mellett elsősorban az infrastruktúra élettartamának </w:t>
      </w:r>
      <w:r w:rsidR="003D091E" w:rsidRPr="00561577">
        <w:rPr>
          <w:szCs w:val="24"/>
        </w:rPr>
        <w:t xml:space="preserve">és a kapacitás </w:t>
      </w:r>
      <w:r w:rsidR="00C31472" w:rsidRPr="00561577">
        <w:rPr>
          <w:szCs w:val="24"/>
        </w:rPr>
        <w:t xml:space="preserve">időszakos vagy tartós </w:t>
      </w:r>
      <w:r w:rsidR="003D091E" w:rsidRPr="00561577">
        <w:rPr>
          <w:szCs w:val="24"/>
        </w:rPr>
        <w:t>csökkenését</w:t>
      </w:r>
      <w:r w:rsidRPr="00561577">
        <w:rPr>
          <w:szCs w:val="24"/>
        </w:rPr>
        <w:t xml:space="preserve"> vizsgálta az éghajlatváltozás</w:t>
      </w:r>
      <w:r w:rsidR="003D091E" w:rsidRPr="00561577">
        <w:rPr>
          <w:szCs w:val="24"/>
        </w:rPr>
        <w:t xml:space="preserve"> extrém eseményeinek</w:t>
      </w:r>
      <w:r w:rsidRPr="00561577">
        <w:rPr>
          <w:szCs w:val="24"/>
        </w:rPr>
        <w:t xml:space="preserve"> tükrében.</w:t>
      </w:r>
    </w:p>
    <w:p w14:paraId="7C8BC3F1" w14:textId="6482C00A" w:rsidR="003D091E" w:rsidRPr="00561577" w:rsidRDefault="00313182" w:rsidP="00561577">
      <w:pPr>
        <w:pStyle w:val="Listaszerbekezds"/>
        <w:numPr>
          <w:ilvl w:val="0"/>
          <w:numId w:val="5"/>
        </w:numPr>
        <w:ind w:left="709"/>
        <w:rPr>
          <w:b/>
          <w:bCs/>
          <w:szCs w:val="24"/>
        </w:rPr>
      </w:pPr>
      <w:r w:rsidRPr="00561577">
        <w:rPr>
          <w:szCs w:val="24"/>
        </w:rPr>
        <w:t xml:space="preserve">Indikátorlista összeállítása, </w:t>
      </w:r>
      <w:r w:rsidR="003D091E" w:rsidRPr="00561577">
        <w:rPr>
          <w:szCs w:val="24"/>
        </w:rPr>
        <w:t>amely során 32</w:t>
      </w:r>
      <w:r w:rsidR="001519C2" w:rsidRPr="00561577">
        <w:rPr>
          <w:szCs w:val="24"/>
        </w:rPr>
        <w:t>, hazánkban</w:t>
      </w:r>
      <w:r w:rsidR="003D091E" w:rsidRPr="00561577">
        <w:rPr>
          <w:szCs w:val="24"/>
        </w:rPr>
        <w:t xml:space="preserve"> potenciálisan </w:t>
      </w:r>
      <w:r w:rsidR="001519C2" w:rsidRPr="00561577">
        <w:rPr>
          <w:szCs w:val="24"/>
        </w:rPr>
        <w:t xml:space="preserve">megjelenő és </w:t>
      </w:r>
      <w:r w:rsidR="003D091E" w:rsidRPr="00561577">
        <w:rPr>
          <w:szCs w:val="24"/>
        </w:rPr>
        <w:t>káros</w:t>
      </w:r>
      <w:r w:rsidR="001519C2" w:rsidRPr="00561577">
        <w:rPr>
          <w:szCs w:val="24"/>
        </w:rPr>
        <w:t>, illetve</w:t>
      </w:r>
      <w:r w:rsidR="003D091E" w:rsidRPr="00561577">
        <w:rPr>
          <w:szCs w:val="24"/>
        </w:rPr>
        <w:t xml:space="preserve"> jelentős hatással bíró indexet definiáltunk.</w:t>
      </w:r>
    </w:p>
    <w:p w14:paraId="4B513DCD" w14:textId="77777777" w:rsidR="00C31472" w:rsidRPr="00561577" w:rsidRDefault="003D091E" w:rsidP="00561577">
      <w:pPr>
        <w:pStyle w:val="Listaszerbekezds"/>
        <w:numPr>
          <w:ilvl w:val="0"/>
          <w:numId w:val="5"/>
        </w:numPr>
        <w:ind w:left="709"/>
        <w:rPr>
          <w:b/>
          <w:bCs/>
          <w:szCs w:val="24"/>
        </w:rPr>
      </w:pPr>
      <w:r w:rsidRPr="00561577">
        <w:rPr>
          <w:szCs w:val="24"/>
        </w:rPr>
        <w:t>Az ehhez szükséges 11 napi és további napon belüli (3 vagy 6 órás) alapváltozó meghatározása</w:t>
      </w:r>
      <w:r w:rsidR="00C31472" w:rsidRPr="00561577">
        <w:rPr>
          <w:szCs w:val="24"/>
        </w:rPr>
        <w:t>.</w:t>
      </w:r>
    </w:p>
    <w:p w14:paraId="58D6BB84" w14:textId="07B69D43" w:rsidR="00313182" w:rsidRPr="00561577" w:rsidRDefault="00C31472" w:rsidP="00561577">
      <w:pPr>
        <w:pStyle w:val="Listaszerbekezds"/>
        <w:numPr>
          <w:ilvl w:val="0"/>
          <w:numId w:val="5"/>
        </w:numPr>
        <w:ind w:left="709"/>
        <w:rPr>
          <w:b/>
          <w:bCs/>
          <w:szCs w:val="24"/>
        </w:rPr>
      </w:pPr>
      <w:r w:rsidRPr="00561577">
        <w:rPr>
          <w:szCs w:val="24"/>
        </w:rPr>
        <w:t>A</w:t>
      </w:r>
      <w:r w:rsidR="001519C2" w:rsidRPr="00561577">
        <w:rPr>
          <w:szCs w:val="24"/>
        </w:rPr>
        <w:t>z elérhető</w:t>
      </w:r>
      <w:r w:rsidRPr="00561577">
        <w:rPr>
          <w:szCs w:val="24"/>
        </w:rPr>
        <w:t>, különböző minőségű</w:t>
      </w:r>
      <w:r w:rsidR="001519C2" w:rsidRPr="00561577">
        <w:rPr>
          <w:szCs w:val="24"/>
        </w:rPr>
        <w:t xml:space="preserve"> megfigyelési adatbázisok vizsgálata</w:t>
      </w:r>
      <w:r w:rsidR="0046207A" w:rsidRPr="00561577">
        <w:rPr>
          <w:szCs w:val="24"/>
        </w:rPr>
        <w:t>, a hibásak lehetséges szűrése</w:t>
      </w:r>
      <w:r w:rsidRPr="00561577">
        <w:rPr>
          <w:szCs w:val="24"/>
        </w:rPr>
        <w:t xml:space="preserve"> – hiszen nem mindegy, hogy pl. az átlaghőmérséklet csak a minimum- és maximumhőmérséklet átlagaként van számítva; vagy a </w:t>
      </w:r>
      <w:proofErr w:type="spellStart"/>
      <w:r w:rsidRPr="00561577">
        <w:rPr>
          <w:szCs w:val="24"/>
        </w:rPr>
        <w:t>globálsugárzás</w:t>
      </w:r>
      <w:proofErr w:type="spellEnd"/>
      <w:r w:rsidRPr="00561577">
        <w:rPr>
          <w:szCs w:val="24"/>
        </w:rPr>
        <w:t xml:space="preserve"> csupán 2001-től elérhető részletes felbontással</w:t>
      </w:r>
      <w:r w:rsidR="003D091E" w:rsidRPr="00561577">
        <w:rPr>
          <w:szCs w:val="24"/>
        </w:rPr>
        <w:t>.</w:t>
      </w:r>
    </w:p>
    <w:p w14:paraId="1DF0E9FF" w14:textId="4CAB1804" w:rsidR="00C31472" w:rsidRPr="00561577" w:rsidRDefault="00C31472" w:rsidP="00561577">
      <w:pPr>
        <w:pStyle w:val="Listaszerbekezds"/>
        <w:numPr>
          <w:ilvl w:val="0"/>
          <w:numId w:val="5"/>
        </w:numPr>
        <w:ind w:left="709"/>
        <w:rPr>
          <w:b/>
          <w:bCs/>
          <w:szCs w:val="24"/>
        </w:rPr>
      </w:pPr>
      <w:r w:rsidRPr="00561577">
        <w:rPr>
          <w:szCs w:val="24"/>
        </w:rPr>
        <w:t>Az elérhető regionális klímamodellek</w:t>
      </w:r>
      <w:r w:rsidR="00E31C37" w:rsidRPr="00561577">
        <w:rPr>
          <w:szCs w:val="24"/>
        </w:rPr>
        <w:t xml:space="preserve"> feltérképezése</w:t>
      </w:r>
      <w:r w:rsidR="008C5884" w:rsidRPr="00561577">
        <w:rPr>
          <w:szCs w:val="24"/>
        </w:rPr>
        <w:t xml:space="preserve"> a Duna-vízgyűjtőjére</w:t>
      </w:r>
      <w:r w:rsidRPr="00561577">
        <w:rPr>
          <w:szCs w:val="24"/>
        </w:rPr>
        <w:t>, melyeknél figyelembe vettük a modellek függetlenségét (</w:t>
      </w:r>
      <w:r w:rsidR="00E31C37" w:rsidRPr="00561577">
        <w:rPr>
          <w:szCs w:val="24"/>
        </w:rPr>
        <w:t>elkerülendő a két azonos családból származó modell várhatóan hasonló eredménye</w:t>
      </w:r>
      <w:r w:rsidRPr="00561577">
        <w:rPr>
          <w:szCs w:val="24"/>
        </w:rPr>
        <w:t xml:space="preserve">), </w:t>
      </w:r>
      <w:r w:rsidR="00E31C37" w:rsidRPr="00561577">
        <w:rPr>
          <w:szCs w:val="24"/>
        </w:rPr>
        <w:t>az összes változó elérhetőségét és a szükséges két jövőbeli forgatókönyv meglétét.</w:t>
      </w:r>
      <w:r w:rsidRPr="00561577">
        <w:rPr>
          <w:szCs w:val="24"/>
        </w:rPr>
        <w:t xml:space="preserve"> </w:t>
      </w:r>
    </w:p>
    <w:p w14:paraId="1D6956C6" w14:textId="5000DC4F" w:rsidR="0074292E" w:rsidRPr="00561577" w:rsidRDefault="00895945" w:rsidP="00561577">
      <w:pPr>
        <w:pStyle w:val="Listaszerbekezds"/>
        <w:numPr>
          <w:ilvl w:val="0"/>
          <w:numId w:val="5"/>
        </w:numPr>
        <w:ind w:left="709"/>
        <w:rPr>
          <w:b/>
          <w:bCs/>
          <w:szCs w:val="24"/>
        </w:rPr>
      </w:pPr>
      <w:r w:rsidRPr="00561577">
        <w:rPr>
          <w:szCs w:val="24"/>
        </w:rPr>
        <w:t>Az indikátorlista véglegesítése előtt</w:t>
      </w:r>
      <w:r w:rsidR="00D529F5" w:rsidRPr="00561577">
        <w:rPr>
          <w:szCs w:val="24"/>
        </w:rPr>
        <w:t xml:space="preserve"> </w:t>
      </w:r>
      <w:r w:rsidR="00C31472" w:rsidRPr="00561577">
        <w:rPr>
          <w:szCs w:val="24"/>
        </w:rPr>
        <w:t xml:space="preserve">több lépcsőben </w:t>
      </w:r>
      <w:r w:rsidR="00D529F5" w:rsidRPr="00561577">
        <w:rPr>
          <w:szCs w:val="24"/>
        </w:rPr>
        <w:t>szükség volt az egyes szakterületek</w:t>
      </w:r>
      <w:r w:rsidR="00C255F6" w:rsidRPr="00561577">
        <w:rPr>
          <w:szCs w:val="24"/>
        </w:rPr>
        <w:t xml:space="preserve"> hazai</w:t>
      </w:r>
      <w:r w:rsidR="00D529F5" w:rsidRPr="00561577">
        <w:rPr>
          <w:szCs w:val="24"/>
        </w:rPr>
        <w:t xml:space="preserve"> képviselőit is bevonni</w:t>
      </w:r>
      <w:r w:rsidR="008C5884" w:rsidRPr="00561577">
        <w:rPr>
          <w:szCs w:val="24"/>
        </w:rPr>
        <w:t xml:space="preserve">, </w:t>
      </w:r>
      <w:r w:rsidR="00C255F6" w:rsidRPr="00561577">
        <w:rPr>
          <w:szCs w:val="24"/>
        </w:rPr>
        <w:t>mellyel</w:t>
      </w:r>
      <w:r w:rsidR="008C5884" w:rsidRPr="00561577">
        <w:rPr>
          <w:szCs w:val="24"/>
        </w:rPr>
        <w:t xml:space="preserve"> összeállt a villamosenergi</w:t>
      </w:r>
      <w:r w:rsidR="00C255F6" w:rsidRPr="00561577">
        <w:rPr>
          <w:szCs w:val="24"/>
        </w:rPr>
        <w:t xml:space="preserve">a átviteli hálózatára vett 9, a felszíni és nagynyomású földgázvezetékekre tekintett 3-3, a távhővezetékekre ható legfőbb 5 éghajlati indikátor. Az igényoldal esetében végül </w:t>
      </w:r>
      <w:r w:rsidR="00FA648A" w:rsidRPr="00561577">
        <w:rPr>
          <w:szCs w:val="24"/>
        </w:rPr>
        <w:t>5</w:t>
      </w:r>
      <w:r w:rsidR="00C255F6" w:rsidRPr="00561577">
        <w:rPr>
          <w:szCs w:val="24"/>
        </w:rPr>
        <w:t>, a napenergiára vonatkozóan pedig 6 másik kitettségi indikátort tekintettünk.</w:t>
      </w:r>
    </w:p>
    <w:p w14:paraId="3682B296" w14:textId="6DEF6FF7" w:rsidR="00FA648A" w:rsidRPr="00561577" w:rsidRDefault="00FA648A" w:rsidP="00561577">
      <w:pPr>
        <w:pStyle w:val="Listaszerbekezds"/>
        <w:numPr>
          <w:ilvl w:val="0"/>
          <w:numId w:val="5"/>
        </w:numPr>
        <w:ind w:left="709"/>
        <w:rPr>
          <w:szCs w:val="24"/>
          <w:vertAlign w:val="subscript"/>
        </w:rPr>
      </w:pPr>
      <w:r w:rsidRPr="00561577">
        <w:rPr>
          <w:szCs w:val="24"/>
        </w:rPr>
        <w:t xml:space="preserve">Mivel a klímamodellek szimulációi </w:t>
      </w:r>
      <w:proofErr w:type="spellStart"/>
      <w:r w:rsidRPr="00561577">
        <w:rPr>
          <w:szCs w:val="24"/>
        </w:rPr>
        <w:t>változónként</w:t>
      </w:r>
      <w:proofErr w:type="spellEnd"/>
      <w:r w:rsidRPr="00561577">
        <w:rPr>
          <w:szCs w:val="24"/>
        </w:rPr>
        <w:t xml:space="preserve"> kisebb-nagyobb hibával terheltek, ezért az ún. delta módszerrel hibakorrekció alkalmazása az indikátorokra, pl. korrigált</w:t>
      </w:r>
      <w:r w:rsidRPr="00561577">
        <w:rPr>
          <w:szCs w:val="24"/>
          <w:vertAlign w:val="subscript"/>
        </w:rPr>
        <w:t>2021-2050</w:t>
      </w:r>
      <w:r w:rsidRPr="00561577">
        <w:rPr>
          <w:szCs w:val="24"/>
        </w:rPr>
        <w:t>=szimuláció</w:t>
      </w:r>
      <w:r w:rsidRPr="00561577">
        <w:rPr>
          <w:szCs w:val="24"/>
          <w:vertAlign w:val="subscript"/>
        </w:rPr>
        <w:t>2021-2050</w:t>
      </w:r>
      <w:r w:rsidRPr="00561577">
        <w:rPr>
          <w:szCs w:val="24"/>
        </w:rPr>
        <w:t>/szimuláció</w:t>
      </w:r>
      <w:r w:rsidRPr="00561577">
        <w:rPr>
          <w:szCs w:val="24"/>
          <w:vertAlign w:val="subscript"/>
        </w:rPr>
        <w:t>1981-2010</w:t>
      </w:r>
      <w:r w:rsidRPr="00561577">
        <w:rPr>
          <w:szCs w:val="24"/>
        </w:rPr>
        <w:t>*megfigyelés</w:t>
      </w:r>
      <w:r w:rsidRPr="00561577">
        <w:rPr>
          <w:szCs w:val="24"/>
          <w:vertAlign w:val="subscript"/>
        </w:rPr>
        <w:t>1981-2010</w:t>
      </w:r>
      <w:r w:rsidRPr="00561577">
        <w:rPr>
          <w:b/>
          <w:bCs/>
          <w:szCs w:val="24"/>
        </w:rPr>
        <w:t>.</w:t>
      </w:r>
    </w:p>
    <w:p w14:paraId="3E941347" w14:textId="5B4EE2D8" w:rsidR="00D529F5" w:rsidRPr="00561577" w:rsidRDefault="00C255F6" w:rsidP="00561577">
      <w:pPr>
        <w:pStyle w:val="Listaszerbekezds"/>
        <w:numPr>
          <w:ilvl w:val="0"/>
          <w:numId w:val="5"/>
        </w:numPr>
        <w:ind w:left="709"/>
        <w:rPr>
          <w:b/>
          <w:bCs/>
          <w:szCs w:val="24"/>
        </w:rPr>
      </w:pPr>
      <w:r w:rsidRPr="00561577">
        <w:rPr>
          <w:szCs w:val="24"/>
        </w:rPr>
        <w:t>A</w:t>
      </w:r>
      <w:r w:rsidR="00FB08B4" w:rsidRPr="00561577">
        <w:rPr>
          <w:szCs w:val="24"/>
        </w:rPr>
        <w:t>z adott infrastruktúra elemeiben, illetve az igényoldal vonatkozásában</w:t>
      </w:r>
      <w:r w:rsidRPr="00561577">
        <w:rPr>
          <w:szCs w:val="24"/>
        </w:rPr>
        <w:t xml:space="preserve"> </w:t>
      </w:r>
      <w:r w:rsidR="00FB08B4" w:rsidRPr="00561577">
        <w:rPr>
          <w:szCs w:val="24"/>
        </w:rPr>
        <w:t xml:space="preserve">várható </w:t>
      </w:r>
      <w:r w:rsidRPr="00561577">
        <w:rPr>
          <w:szCs w:val="24"/>
        </w:rPr>
        <w:t xml:space="preserve">hatás </w:t>
      </w:r>
      <w:r w:rsidR="00FB08B4" w:rsidRPr="00561577">
        <w:rPr>
          <w:szCs w:val="24"/>
        </w:rPr>
        <w:t xml:space="preserve">nagysága szerinti </w:t>
      </w:r>
      <w:r w:rsidRPr="00561577">
        <w:rPr>
          <w:szCs w:val="24"/>
        </w:rPr>
        <w:t>s</w:t>
      </w:r>
      <w:r w:rsidR="0074292E" w:rsidRPr="00561577">
        <w:rPr>
          <w:szCs w:val="24"/>
        </w:rPr>
        <w:t>úlyozás meg</w:t>
      </w:r>
      <w:r w:rsidR="00FB08B4" w:rsidRPr="00561577">
        <w:rPr>
          <w:szCs w:val="24"/>
        </w:rPr>
        <w:t>határozása az egyes indikátorokra</w:t>
      </w:r>
      <w:r w:rsidR="0074292E" w:rsidRPr="00561577">
        <w:rPr>
          <w:szCs w:val="24"/>
        </w:rPr>
        <w:t>, majd ez ala</w:t>
      </w:r>
      <w:r w:rsidRPr="00561577">
        <w:rPr>
          <w:szCs w:val="24"/>
        </w:rPr>
        <w:t>pján a komplex</w:t>
      </w:r>
      <w:r w:rsidR="008C5884" w:rsidRPr="00561577">
        <w:rPr>
          <w:szCs w:val="24"/>
        </w:rPr>
        <w:t xml:space="preserve"> </w:t>
      </w:r>
      <w:r w:rsidRPr="00561577">
        <w:rPr>
          <w:szCs w:val="24"/>
        </w:rPr>
        <w:t>éghajlati kitettségek számítása</w:t>
      </w:r>
      <w:r w:rsidR="00FB08B4" w:rsidRPr="00561577">
        <w:rPr>
          <w:szCs w:val="24"/>
        </w:rPr>
        <w:t>. Mindezeket a skálázás módszerével egy [0-1] közötti számra hozva</w:t>
      </w:r>
      <w:r w:rsidRPr="00561577">
        <w:rPr>
          <w:szCs w:val="24"/>
        </w:rPr>
        <w:t xml:space="preserve"> </w:t>
      </w:r>
      <w:proofErr w:type="spellStart"/>
      <w:r w:rsidRPr="00561577">
        <w:rPr>
          <w:szCs w:val="24"/>
        </w:rPr>
        <w:t>dimenziótlaní</w:t>
      </w:r>
      <w:r w:rsidR="00FB08B4" w:rsidRPr="00561577">
        <w:rPr>
          <w:szCs w:val="24"/>
        </w:rPr>
        <w:t>tottuk</w:t>
      </w:r>
      <w:proofErr w:type="spellEnd"/>
      <w:r w:rsidR="006B65A3" w:rsidRPr="00561577">
        <w:rPr>
          <w:szCs w:val="24"/>
        </w:rPr>
        <w:t>, melyet egy háromosztatú skála szerint tovább kategorizáltunk</w:t>
      </w:r>
      <w:r w:rsidR="00FB08B4" w:rsidRPr="00561577">
        <w:rPr>
          <w:szCs w:val="24"/>
        </w:rPr>
        <w:t>.</w:t>
      </w:r>
      <w:r w:rsidRPr="00561577">
        <w:rPr>
          <w:szCs w:val="24"/>
        </w:rPr>
        <w:t xml:space="preserve"> </w:t>
      </w:r>
    </w:p>
    <w:p w14:paraId="069A13AA" w14:textId="77777777" w:rsidR="002B0387" w:rsidRDefault="002B0387">
      <w:pPr>
        <w:widowControl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14:paraId="4EC39058" w14:textId="08538175" w:rsidR="00FB08B4" w:rsidRPr="00561577" w:rsidRDefault="00FB08B4" w:rsidP="00561577">
      <w:pPr>
        <w:pStyle w:val="Listaszerbekezds"/>
        <w:numPr>
          <w:ilvl w:val="0"/>
          <w:numId w:val="5"/>
        </w:numPr>
        <w:ind w:left="709"/>
        <w:rPr>
          <w:b/>
          <w:bCs/>
          <w:szCs w:val="24"/>
        </w:rPr>
      </w:pPr>
      <w:r w:rsidRPr="00561577">
        <w:rPr>
          <w:szCs w:val="24"/>
        </w:rPr>
        <w:lastRenderedPageBreak/>
        <w:t>A hazánkra rácspontonként tekintett, legfeljebb 10 szimuláció alapján vett minimum-medián-maximum változás megjelenítéséhez szükséges volt azonos színskála és értékhatárok megadására is.</w:t>
      </w:r>
    </w:p>
    <w:p w14:paraId="1460AEA4" w14:textId="24EDB0C5" w:rsidR="00FB08B4" w:rsidRPr="00561577" w:rsidRDefault="00FB08B4" w:rsidP="00561577">
      <w:pPr>
        <w:pStyle w:val="Listaszerbekezds"/>
        <w:numPr>
          <w:ilvl w:val="0"/>
          <w:numId w:val="5"/>
        </w:numPr>
        <w:ind w:left="709"/>
        <w:rPr>
          <w:b/>
          <w:bCs/>
          <w:szCs w:val="24"/>
        </w:rPr>
      </w:pPr>
      <w:r w:rsidRPr="00561577">
        <w:rPr>
          <w:szCs w:val="24"/>
        </w:rPr>
        <w:t>A</w:t>
      </w:r>
      <w:r w:rsidR="00670711" w:rsidRPr="00561577">
        <w:rPr>
          <w:szCs w:val="24"/>
        </w:rPr>
        <w:t xml:space="preserve"> NATéR-be való integrálhatóság és a felhasználás könnyítése végett a</w:t>
      </w:r>
      <w:r w:rsidRPr="00561577">
        <w:rPr>
          <w:szCs w:val="24"/>
        </w:rPr>
        <w:t xml:space="preserve">z adatok és térképek mögötti részletes háttérinformáció megadása a </w:t>
      </w:r>
      <w:proofErr w:type="gramStart"/>
      <w:r w:rsidRPr="00561577">
        <w:rPr>
          <w:szCs w:val="24"/>
        </w:rPr>
        <w:t>META-adat</w:t>
      </w:r>
      <w:r w:rsidR="009D3F1B" w:rsidRPr="00561577">
        <w:rPr>
          <w:szCs w:val="24"/>
        </w:rPr>
        <w:t>bázisba</w:t>
      </w:r>
      <w:r w:rsidRPr="00561577">
        <w:rPr>
          <w:szCs w:val="24"/>
        </w:rPr>
        <w:t>n</w:t>
      </w:r>
      <w:proofErr w:type="gramEnd"/>
      <w:r w:rsidRPr="00561577">
        <w:rPr>
          <w:szCs w:val="24"/>
        </w:rPr>
        <w:t>.</w:t>
      </w:r>
    </w:p>
    <w:p w14:paraId="6A200F20" w14:textId="77777777" w:rsidR="00B60889" w:rsidRPr="00561577" w:rsidRDefault="00B60889" w:rsidP="006B0B8A">
      <w:pPr>
        <w:rPr>
          <w:b/>
          <w:bCs/>
          <w:szCs w:val="24"/>
        </w:rPr>
      </w:pPr>
    </w:p>
    <w:p w14:paraId="7BFAE194" w14:textId="31A792BF" w:rsidR="009D3F1B" w:rsidRPr="00561577" w:rsidRDefault="006B0B8A" w:rsidP="00942C4F">
      <w:pPr>
        <w:pStyle w:val="Cmsor1"/>
        <w:widowControl/>
        <w:spacing w:before="120" w:after="120"/>
        <w:ind w:left="431" w:hanging="431"/>
        <w:rPr>
          <w:rFonts w:ascii="Times New Roman" w:hAnsi="Times New Roman" w:cs="Times New Roman"/>
          <w:b/>
          <w:bCs/>
        </w:rPr>
      </w:pPr>
      <w:r w:rsidRPr="00561577">
        <w:rPr>
          <w:rFonts w:ascii="Times New Roman" w:hAnsi="Times New Roman" w:cs="Times New Roman"/>
          <w:b/>
          <w:bCs/>
          <w:color w:val="auto"/>
        </w:rPr>
        <w:t>3</w:t>
      </w:r>
      <w:r w:rsidR="00E31C37" w:rsidRPr="00561577">
        <w:rPr>
          <w:rFonts w:ascii="Times New Roman" w:hAnsi="Times New Roman" w:cs="Times New Roman"/>
          <w:b/>
          <w:bCs/>
          <w:color w:val="auto"/>
        </w:rPr>
        <w:t>.</w:t>
      </w:r>
      <w:r w:rsidR="00E31C37" w:rsidRPr="00561577">
        <w:rPr>
          <w:rFonts w:ascii="Times New Roman" w:hAnsi="Times New Roman" w:cs="Times New Roman"/>
          <w:b/>
          <w:bCs/>
        </w:rPr>
        <w:t xml:space="preserve"> </w:t>
      </w:r>
      <w:r w:rsidR="00E31C37" w:rsidRPr="00561577">
        <w:rPr>
          <w:rFonts w:ascii="Times New Roman" w:hAnsi="Times New Roman" w:cs="Times New Roman"/>
          <w:b/>
          <w:bCs/>
          <w:color w:val="auto"/>
        </w:rPr>
        <w:t>Adatok</w:t>
      </w:r>
    </w:p>
    <w:p w14:paraId="362BE0B2" w14:textId="14C59BE8" w:rsidR="00E31C37" w:rsidRPr="00561577" w:rsidRDefault="00E31C37" w:rsidP="001B2586">
      <w:pPr>
        <w:widowControl/>
        <w:spacing w:before="120" w:after="120"/>
        <w:ind w:firstLine="567"/>
        <w:contextualSpacing/>
        <w:rPr>
          <w:szCs w:val="24"/>
        </w:rPr>
      </w:pPr>
      <w:r w:rsidRPr="00561577">
        <w:rPr>
          <w:szCs w:val="24"/>
        </w:rPr>
        <w:t xml:space="preserve">Az </w:t>
      </w:r>
      <w:r w:rsidR="00895945" w:rsidRPr="00561577">
        <w:rPr>
          <w:szCs w:val="24"/>
        </w:rPr>
        <w:t>éghajlati indikátorokat</w:t>
      </w:r>
      <w:r w:rsidRPr="00561577">
        <w:rPr>
          <w:szCs w:val="24"/>
        </w:rPr>
        <w:t xml:space="preserve"> a múltra</w:t>
      </w:r>
      <w:r w:rsidR="00895945" w:rsidRPr="00561577">
        <w:rPr>
          <w:szCs w:val="24"/>
        </w:rPr>
        <w:t xml:space="preserve"> vonatkozóan</w:t>
      </w:r>
      <w:r w:rsidRPr="00561577">
        <w:rPr>
          <w:szCs w:val="24"/>
        </w:rPr>
        <w:t xml:space="preserve"> megfigyelésekből, míg a jövőre ún. regionális klímamodellekből származtattunk. </w:t>
      </w:r>
      <w:r w:rsidR="00895945" w:rsidRPr="00561577">
        <w:rPr>
          <w:szCs w:val="24"/>
        </w:rPr>
        <w:t>A</w:t>
      </w:r>
      <w:r w:rsidR="00BF16A5" w:rsidRPr="00561577">
        <w:rPr>
          <w:szCs w:val="24"/>
        </w:rPr>
        <w:t>z 1981-2010 időszakra vonatkozó</w:t>
      </w:r>
      <w:r w:rsidR="00895945" w:rsidRPr="00561577">
        <w:rPr>
          <w:szCs w:val="24"/>
        </w:rPr>
        <w:t xml:space="preserve"> megfigyelések</w:t>
      </w:r>
      <w:r w:rsidR="00BF16A5" w:rsidRPr="00561577">
        <w:rPr>
          <w:szCs w:val="24"/>
        </w:rPr>
        <w:t xml:space="preserve"> legnagyobb részét</w:t>
      </w:r>
      <w:r w:rsidR="00895945" w:rsidRPr="00561577">
        <w:rPr>
          <w:szCs w:val="24"/>
        </w:rPr>
        <w:t xml:space="preserve"> </w:t>
      </w:r>
      <w:r w:rsidRPr="00561577">
        <w:rPr>
          <w:szCs w:val="24"/>
        </w:rPr>
        <w:t xml:space="preserve">a hazai, homogenizált </w:t>
      </w:r>
      <w:r w:rsidR="00895945" w:rsidRPr="00561577">
        <w:rPr>
          <w:szCs w:val="24"/>
        </w:rPr>
        <w:t>(</w:t>
      </w:r>
      <w:r w:rsidRPr="00561577">
        <w:rPr>
          <w:szCs w:val="24"/>
        </w:rPr>
        <w:t>minőségileg ellenőrzött)</w:t>
      </w:r>
      <w:r w:rsidR="00BF16A5" w:rsidRPr="00561577">
        <w:rPr>
          <w:szCs w:val="24"/>
        </w:rPr>
        <w:t>,</w:t>
      </w:r>
      <w:r w:rsidRPr="00561577">
        <w:rPr>
          <w:szCs w:val="24"/>
        </w:rPr>
        <w:t xml:space="preserve"> </w:t>
      </w:r>
      <w:r w:rsidR="00BF16A5" w:rsidRPr="00561577">
        <w:rPr>
          <w:szCs w:val="24"/>
        </w:rPr>
        <w:t xml:space="preserve">állomási adatsorokból </w:t>
      </w:r>
      <w:r w:rsidRPr="00561577">
        <w:rPr>
          <w:szCs w:val="24"/>
        </w:rPr>
        <w:t>10 km-es rács</w:t>
      </w:r>
      <w:r w:rsidR="00BF16A5" w:rsidRPr="00561577">
        <w:rPr>
          <w:szCs w:val="24"/>
        </w:rPr>
        <w:t>ra interpolált</w:t>
      </w:r>
      <w:r w:rsidRPr="00561577">
        <w:rPr>
          <w:szCs w:val="24"/>
        </w:rPr>
        <w:t xml:space="preserve">, ún. </w:t>
      </w:r>
      <w:proofErr w:type="spellStart"/>
      <w:r w:rsidRPr="00561577">
        <w:rPr>
          <w:szCs w:val="24"/>
        </w:rPr>
        <w:t>HuClim</w:t>
      </w:r>
      <w:proofErr w:type="spellEnd"/>
      <w:r w:rsidRPr="00561577">
        <w:rPr>
          <w:szCs w:val="24"/>
        </w:rPr>
        <w:t xml:space="preserve"> adatbázisból vettük, melyet </w:t>
      </w:r>
      <w:r w:rsidR="00BF16A5" w:rsidRPr="00561577">
        <w:rPr>
          <w:szCs w:val="24"/>
        </w:rPr>
        <w:t xml:space="preserve">az előző </w:t>
      </w:r>
      <w:r w:rsidR="008C5884" w:rsidRPr="00561577">
        <w:rPr>
          <w:szCs w:val="24"/>
        </w:rPr>
        <w:t>hiányakor</w:t>
      </w:r>
      <w:r w:rsidR="00BF16A5" w:rsidRPr="00561577">
        <w:rPr>
          <w:szCs w:val="24"/>
        </w:rPr>
        <w:t xml:space="preserve">, a napon belüli változók és a </w:t>
      </w:r>
      <w:proofErr w:type="spellStart"/>
      <w:r w:rsidR="00BF16A5" w:rsidRPr="00561577">
        <w:rPr>
          <w:szCs w:val="24"/>
        </w:rPr>
        <w:t>globálsugárzás</w:t>
      </w:r>
      <w:proofErr w:type="spellEnd"/>
      <w:r w:rsidR="00BF16A5" w:rsidRPr="00561577">
        <w:rPr>
          <w:szCs w:val="24"/>
        </w:rPr>
        <w:t xml:space="preserve"> esetében</w:t>
      </w:r>
      <w:r w:rsidRPr="00561577">
        <w:rPr>
          <w:szCs w:val="24"/>
        </w:rPr>
        <w:t xml:space="preserve"> kiegészítettünk kvázi-megfigyelésekkel</w:t>
      </w:r>
      <w:r w:rsidR="00BF16A5" w:rsidRPr="00561577">
        <w:rPr>
          <w:szCs w:val="24"/>
        </w:rPr>
        <w:t xml:space="preserve">, az </w:t>
      </w:r>
      <w:r w:rsidRPr="00561577">
        <w:rPr>
          <w:szCs w:val="24"/>
        </w:rPr>
        <w:t>ún. ERA5-reanalízissel</w:t>
      </w:r>
      <w:r w:rsidR="00BF16A5" w:rsidRPr="00561577">
        <w:rPr>
          <w:szCs w:val="24"/>
        </w:rPr>
        <w:t xml:space="preserve"> – mely sokféle megfigyelést figyelembevéve, de modellek segítségével készül</w:t>
      </w:r>
      <w:r w:rsidRPr="00561577">
        <w:rPr>
          <w:szCs w:val="24"/>
        </w:rPr>
        <w:t>.</w:t>
      </w:r>
    </w:p>
    <w:p w14:paraId="4C57D39F" w14:textId="6B4300E2" w:rsidR="00E31C37" w:rsidRPr="00561577" w:rsidRDefault="00E31C37" w:rsidP="001B2586">
      <w:pPr>
        <w:widowControl/>
        <w:spacing w:before="120" w:after="120"/>
        <w:ind w:firstLine="567"/>
        <w:contextualSpacing/>
        <w:rPr>
          <w:szCs w:val="24"/>
        </w:rPr>
      </w:pPr>
      <w:r w:rsidRPr="00561577">
        <w:rPr>
          <w:szCs w:val="24"/>
        </w:rPr>
        <w:t xml:space="preserve">A </w:t>
      </w:r>
      <w:r w:rsidR="00BF16A5" w:rsidRPr="00561577">
        <w:rPr>
          <w:szCs w:val="24"/>
        </w:rPr>
        <w:t xml:space="preserve">regionális klímamodellek </w:t>
      </w:r>
      <w:r w:rsidRPr="00561577">
        <w:rPr>
          <w:szCs w:val="24"/>
        </w:rPr>
        <w:t xml:space="preserve">a légköri folyamatokat </w:t>
      </w:r>
      <w:r w:rsidR="00BF16A5" w:rsidRPr="00561577">
        <w:rPr>
          <w:szCs w:val="24"/>
        </w:rPr>
        <w:t>a globálisnál</w:t>
      </w:r>
      <w:r w:rsidRPr="00561577">
        <w:rPr>
          <w:szCs w:val="24"/>
        </w:rPr>
        <w:t xml:space="preserve"> pontos</w:t>
      </w:r>
      <w:r w:rsidR="00BF16A5" w:rsidRPr="00561577">
        <w:rPr>
          <w:szCs w:val="24"/>
        </w:rPr>
        <w:t>abban</w:t>
      </w:r>
      <w:r w:rsidRPr="00561577">
        <w:rPr>
          <w:szCs w:val="24"/>
        </w:rPr>
        <w:t xml:space="preserve"> és a megfigyelésekkel </w:t>
      </w:r>
      <w:r w:rsidR="0074292E" w:rsidRPr="00561577">
        <w:rPr>
          <w:szCs w:val="24"/>
        </w:rPr>
        <w:t xml:space="preserve">közel </w:t>
      </w:r>
      <w:r w:rsidRPr="00561577">
        <w:rPr>
          <w:szCs w:val="24"/>
        </w:rPr>
        <w:t>azonos térbeli felbontással írják le</w:t>
      </w:r>
      <w:r w:rsidR="00BF16A5" w:rsidRPr="00561577">
        <w:rPr>
          <w:szCs w:val="24"/>
        </w:rPr>
        <w:t>, így azok kiválóan alkalmasak egy adott térség éghajlatának vizsgálatához</w:t>
      </w:r>
      <w:r w:rsidRPr="00561577">
        <w:rPr>
          <w:szCs w:val="24"/>
        </w:rPr>
        <w:t xml:space="preserve">. A felhasznált </w:t>
      </w:r>
      <w:r w:rsidR="0074292E" w:rsidRPr="00561577">
        <w:rPr>
          <w:szCs w:val="24"/>
        </w:rPr>
        <w:t>regionális klímamodellek</w:t>
      </w:r>
      <w:r w:rsidRPr="00561577">
        <w:rPr>
          <w:szCs w:val="24"/>
        </w:rPr>
        <w:t xml:space="preserve"> historikus szimulációi nagy számban </w:t>
      </w:r>
      <w:r w:rsidR="00BF16A5" w:rsidRPr="00561577">
        <w:rPr>
          <w:szCs w:val="24"/>
        </w:rPr>
        <w:t xml:space="preserve">továbbra is </w:t>
      </w:r>
      <w:r w:rsidRPr="00561577">
        <w:rPr>
          <w:szCs w:val="24"/>
        </w:rPr>
        <w:t>csak 2005-ig állnak rendelkezésünkre, míg a jövőre vonatkozóan, 2006-tól azt szimulálj</w:t>
      </w:r>
      <w:r w:rsidR="00BF16A5" w:rsidRPr="00561577">
        <w:rPr>
          <w:szCs w:val="24"/>
        </w:rPr>
        <w:t>á</w:t>
      </w:r>
      <w:r w:rsidRPr="00561577">
        <w:rPr>
          <w:szCs w:val="24"/>
        </w:rPr>
        <w:t xml:space="preserve">k, hogy egy-egy feltételes üvegházgáz-kibocsátási forgatókönyvre hogyan reagál az éghajlati rendszer. </w:t>
      </w:r>
      <w:r w:rsidR="00BF16A5" w:rsidRPr="00561577">
        <w:rPr>
          <w:szCs w:val="24"/>
        </w:rPr>
        <w:t xml:space="preserve">A </w:t>
      </w:r>
      <w:r w:rsidRPr="00561577">
        <w:rPr>
          <w:szCs w:val="24"/>
        </w:rPr>
        <w:t xml:space="preserve">projekt során az emberi tevékenység figyelembevételére két forgatókönyvet tekintettünk: az antropogén kibocsátás-csökkentést 2040-től feltételező, ún. RCP4.5-ös forgatókönyvet, valamint a pesszimista, </w:t>
      </w:r>
      <w:r w:rsidR="00BF16A5" w:rsidRPr="00561577">
        <w:rPr>
          <w:szCs w:val="24"/>
        </w:rPr>
        <w:t xml:space="preserve">a 21. században </w:t>
      </w:r>
      <w:proofErr w:type="spellStart"/>
      <w:r w:rsidR="0046207A" w:rsidRPr="00561577">
        <w:rPr>
          <w:szCs w:val="24"/>
        </w:rPr>
        <w:t>mitigáció</w:t>
      </w:r>
      <w:proofErr w:type="spellEnd"/>
      <w:r w:rsidR="0046207A" w:rsidRPr="00561577">
        <w:rPr>
          <w:szCs w:val="24"/>
        </w:rPr>
        <w:t xml:space="preserve"> </w:t>
      </w:r>
      <w:r w:rsidRPr="00561577">
        <w:rPr>
          <w:szCs w:val="24"/>
        </w:rPr>
        <w:t>nélküli RCP8.5-öt.</w:t>
      </w:r>
    </w:p>
    <w:p w14:paraId="23659F9A" w14:textId="04CBDE14" w:rsidR="008A0570" w:rsidRPr="00561577" w:rsidRDefault="00E31C37" w:rsidP="001B2586">
      <w:pPr>
        <w:widowControl/>
        <w:spacing w:before="120" w:after="120"/>
        <w:ind w:firstLine="567"/>
        <w:contextualSpacing/>
        <w:rPr>
          <w:szCs w:val="24"/>
        </w:rPr>
      </w:pPr>
      <w:r w:rsidRPr="00561577">
        <w:rPr>
          <w:szCs w:val="24"/>
        </w:rPr>
        <w:t>A</w:t>
      </w:r>
      <w:r w:rsidR="00BF16A5" w:rsidRPr="00561577">
        <w:rPr>
          <w:szCs w:val="24"/>
        </w:rPr>
        <w:t xml:space="preserve"> klímamodellek</w:t>
      </w:r>
      <w:r w:rsidRPr="00561577">
        <w:rPr>
          <w:szCs w:val="24"/>
        </w:rPr>
        <w:t xml:space="preserve"> folyamatos fejlesztései ellenére, az</w:t>
      </w:r>
      <w:r w:rsidR="008C5884" w:rsidRPr="00561577">
        <w:rPr>
          <w:szCs w:val="24"/>
        </w:rPr>
        <w:t>ok</w:t>
      </w:r>
      <w:r w:rsidRPr="00561577">
        <w:rPr>
          <w:szCs w:val="24"/>
        </w:rPr>
        <w:t xml:space="preserve"> eredményei változótól függően kisebb-nagyobb hibával terheltek</w:t>
      </w:r>
      <w:r w:rsidR="008C5884" w:rsidRPr="00561577">
        <w:rPr>
          <w:szCs w:val="24"/>
        </w:rPr>
        <w:t xml:space="preserve"> a megfigyelésekkel szemben</w:t>
      </w:r>
      <w:r w:rsidRPr="00561577">
        <w:rPr>
          <w:szCs w:val="24"/>
        </w:rPr>
        <w:t xml:space="preserve">, ezért a jövőre nem egyetlen modellszimulációt, hanem </w:t>
      </w:r>
      <w:r w:rsidR="008C5884" w:rsidRPr="00561577">
        <w:rPr>
          <w:szCs w:val="24"/>
        </w:rPr>
        <w:t xml:space="preserve">egy nagyobb, </w:t>
      </w:r>
      <w:r w:rsidRPr="00561577">
        <w:rPr>
          <w:szCs w:val="24"/>
        </w:rPr>
        <w:t>legfeljebb 10 RCM által lefedett modellegyüttes</w:t>
      </w:r>
      <w:r w:rsidR="008C5884" w:rsidRPr="00561577">
        <w:rPr>
          <w:szCs w:val="24"/>
        </w:rPr>
        <w:t>t tekintettünk, melyből a</w:t>
      </w:r>
      <w:r w:rsidRPr="00561577">
        <w:rPr>
          <w:szCs w:val="24"/>
        </w:rPr>
        <w:t xml:space="preserve"> legnagyobb, legkisebb és medián értékét is megjelenítjük</w:t>
      </w:r>
      <w:r w:rsidR="008C5884" w:rsidRPr="00561577">
        <w:rPr>
          <w:szCs w:val="24"/>
        </w:rPr>
        <w:t xml:space="preserve"> az eredmények során</w:t>
      </w:r>
      <w:r w:rsidRPr="00561577">
        <w:rPr>
          <w:szCs w:val="24"/>
        </w:rPr>
        <w:t xml:space="preserve">. Mindkét forgatókönyvre ugyanazon hat-hat európai, az EURO-CORDEX együttműködés keretében futtatott szimulációt </w:t>
      </w:r>
      <w:r w:rsidR="008C5884" w:rsidRPr="00561577">
        <w:rPr>
          <w:szCs w:val="24"/>
        </w:rPr>
        <w:t>választottuk ki</w:t>
      </w:r>
      <w:r w:rsidRPr="00561577">
        <w:rPr>
          <w:szCs w:val="24"/>
        </w:rPr>
        <w:t>, melyet kiegészítettünk két-két hazai, ELTE-s és OMSZ-os szimuláció eredményével.</w:t>
      </w:r>
    </w:p>
    <w:p w14:paraId="0425AF41" w14:textId="77777777" w:rsidR="00B57373" w:rsidRPr="00561577" w:rsidRDefault="00B57373" w:rsidP="006B0B8A">
      <w:pPr>
        <w:rPr>
          <w:b/>
          <w:bCs/>
          <w:szCs w:val="24"/>
        </w:rPr>
      </w:pPr>
    </w:p>
    <w:p w14:paraId="6407F49A" w14:textId="730A2018" w:rsidR="00B57373" w:rsidRPr="00561577" w:rsidRDefault="00B57373" w:rsidP="00B57373">
      <w:pPr>
        <w:jc w:val="center"/>
        <w:rPr>
          <w:b/>
          <w:bCs/>
          <w:szCs w:val="24"/>
        </w:rPr>
      </w:pPr>
      <w:r w:rsidRPr="00561577">
        <w:rPr>
          <w:b/>
          <w:bCs/>
          <w:szCs w:val="24"/>
        </w:rPr>
        <w:object w:dxaOrig="6705" w:dyaOrig="3184" w14:anchorId="667E1F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159pt" o:ole="">
            <v:imagedata r:id="rId10" o:title=""/>
          </v:shape>
          <o:OLEObject Type="Embed" ProgID="Excel.Sheet.12" ShapeID="_x0000_i1025" DrawAspect="Content" ObjectID="_1758097716" r:id="rId11"/>
        </w:object>
      </w:r>
    </w:p>
    <w:p w14:paraId="6B95DA39" w14:textId="06BA97CF" w:rsidR="00B57373" w:rsidRPr="00561577" w:rsidRDefault="00942C4F" w:rsidP="00942C4F">
      <w:pPr>
        <w:pStyle w:val="Listaszerbekezds"/>
        <w:numPr>
          <w:ilvl w:val="0"/>
          <w:numId w:val="3"/>
        </w:numPr>
        <w:tabs>
          <w:tab w:val="left" w:pos="8647"/>
        </w:tabs>
        <w:spacing w:before="120" w:after="120"/>
        <w:ind w:left="357" w:hanging="357"/>
        <w:jc w:val="center"/>
        <w:rPr>
          <w:i/>
          <w:iCs/>
          <w:sz w:val="22"/>
          <w:szCs w:val="22"/>
        </w:rPr>
      </w:pPr>
      <w:r w:rsidRPr="00561577">
        <w:rPr>
          <w:i/>
          <w:iCs/>
          <w:sz w:val="22"/>
          <w:szCs w:val="22"/>
        </w:rPr>
        <w:t>t</w:t>
      </w:r>
      <w:r w:rsidR="000F0347" w:rsidRPr="00561577">
        <w:rPr>
          <w:i/>
          <w:iCs/>
          <w:sz w:val="22"/>
          <w:szCs w:val="22"/>
        </w:rPr>
        <w:t xml:space="preserve">áblázat: </w:t>
      </w:r>
      <w:r w:rsidR="00B57373" w:rsidRPr="00561577">
        <w:rPr>
          <w:i/>
          <w:iCs/>
          <w:sz w:val="22"/>
          <w:szCs w:val="22"/>
        </w:rPr>
        <w:t>A</w:t>
      </w:r>
      <w:r w:rsidR="000F0347" w:rsidRPr="00561577">
        <w:rPr>
          <w:i/>
          <w:iCs/>
          <w:sz w:val="22"/>
          <w:szCs w:val="22"/>
        </w:rPr>
        <w:t>z infrastruktúra elemeire vett éghajlati kitettségi indexek</w:t>
      </w:r>
      <w:r w:rsidR="00B57373" w:rsidRPr="00561577">
        <w:rPr>
          <w:i/>
          <w:iCs/>
          <w:sz w:val="22"/>
          <w:szCs w:val="22"/>
        </w:rPr>
        <w:t xml:space="preserve"> számítás</w:t>
      </w:r>
      <w:r w:rsidR="000F0347" w:rsidRPr="00561577">
        <w:rPr>
          <w:i/>
          <w:iCs/>
          <w:sz w:val="22"/>
          <w:szCs w:val="22"/>
        </w:rPr>
        <w:t>a</w:t>
      </w:r>
      <w:r w:rsidR="00B57373" w:rsidRPr="00561577">
        <w:rPr>
          <w:i/>
          <w:iCs/>
          <w:sz w:val="22"/>
          <w:szCs w:val="22"/>
        </w:rPr>
        <w:t xml:space="preserve"> során felhasznált </w:t>
      </w:r>
      <w:r w:rsidR="00283133" w:rsidRPr="00561577">
        <w:rPr>
          <w:i/>
          <w:iCs/>
          <w:sz w:val="22"/>
          <w:szCs w:val="22"/>
        </w:rPr>
        <w:t xml:space="preserve">10 </w:t>
      </w:r>
      <w:r w:rsidR="00B57373" w:rsidRPr="00561577">
        <w:rPr>
          <w:i/>
          <w:iCs/>
          <w:sz w:val="22"/>
          <w:szCs w:val="22"/>
        </w:rPr>
        <w:t xml:space="preserve">regionális klímamodell </w:t>
      </w:r>
      <w:r w:rsidR="00D237FD" w:rsidRPr="00561577">
        <w:rPr>
          <w:i/>
          <w:iCs/>
          <w:sz w:val="22"/>
          <w:szCs w:val="22"/>
        </w:rPr>
        <w:t>neve, a meghajtó globális modell, az adatok forrása és a</w:t>
      </w:r>
      <w:r w:rsidR="000F0347" w:rsidRPr="00561577">
        <w:rPr>
          <w:i/>
          <w:iCs/>
          <w:sz w:val="22"/>
          <w:szCs w:val="22"/>
        </w:rPr>
        <w:t xml:space="preserve"> belőlük</w:t>
      </w:r>
      <w:r w:rsidR="00D237FD" w:rsidRPr="00561577">
        <w:rPr>
          <w:i/>
          <w:iCs/>
          <w:sz w:val="22"/>
          <w:szCs w:val="22"/>
        </w:rPr>
        <w:t xml:space="preserve"> számolt indikátorok száma.</w:t>
      </w:r>
    </w:p>
    <w:p w14:paraId="2BA51D1A" w14:textId="77777777" w:rsidR="00895945" w:rsidRPr="00561577" w:rsidRDefault="00895945" w:rsidP="006B0B8A">
      <w:pPr>
        <w:rPr>
          <w:b/>
          <w:bCs/>
          <w:szCs w:val="24"/>
        </w:rPr>
      </w:pPr>
    </w:p>
    <w:p w14:paraId="69C75844" w14:textId="5B5A3D0F" w:rsidR="00717A4D" w:rsidRPr="00561577" w:rsidRDefault="00717A4D" w:rsidP="00561577">
      <w:pPr>
        <w:ind w:firstLine="0"/>
        <w:jc w:val="center"/>
        <w:rPr>
          <w:b/>
          <w:bCs/>
          <w:szCs w:val="24"/>
        </w:rPr>
      </w:pPr>
      <w:r w:rsidRPr="00561577">
        <w:rPr>
          <w:b/>
          <w:bCs/>
          <w:noProof/>
          <w:szCs w:val="24"/>
        </w:rPr>
        <w:lastRenderedPageBreak/>
        <w:drawing>
          <wp:inline distT="0" distB="0" distL="0" distR="0" wp14:anchorId="78D68D76" wp14:editId="5749B7FA">
            <wp:extent cx="4199873" cy="3419475"/>
            <wp:effectExtent l="0" t="0" r="0" b="0"/>
            <wp:docPr id="2374502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56" cy="3428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B2B35" w14:textId="6D340E54" w:rsidR="00717A4D" w:rsidRPr="00561577" w:rsidRDefault="00A60ADC" w:rsidP="00942C4F">
      <w:pPr>
        <w:pStyle w:val="Listaszerbekezds"/>
        <w:numPr>
          <w:ilvl w:val="0"/>
          <w:numId w:val="4"/>
        </w:numPr>
        <w:spacing w:before="120" w:after="120"/>
        <w:ind w:left="357" w:hanging="357"/>
        <w:jc w:val="center"/>
        <w:rPr>
          <w:i/>
          <w:iCs/>
          <w:sz w:val="22"/>
          <w:szCs w:val="22"/>
        </w:rPr>
      </w:pPr>
      <w:r w:rsidRPr="00561577">
        <w:rPr>
          <w:i/>
          <w:iCs/>
          <w:sz w:val="22"/>
          <w:szCs w:val="22"/>
        </w:rPr>
        <w:t>á</w:t>
      </w:r>
      <w:r w:rsidR="00717A4D" w:rsidRPr="00561577">
        <w:rPr>
          <w:i/>
          <w:iCs/>
          <w:sz w:val="22"/>
          <w:szCs w:val="22"/>
        </w:rPr>
        <w:t>bra: Az éghajlati modelleredmények számítása során felhasznált</w:t>
      </w:r>
      <w:r w:rsidR="00922291" w:rsidRPr="00561577">
        <w:rPr>
          <w:i/>
          <w:iCs/>
          <w:sz w:val="22"/>
          <w:szCs w:val="22"/>
        </w:rPr>
        <w:t xml:space="preserve"> hipotetikus</w:t>
      </w:r>
      <w:r w:rsidR="00717A4D" w:rsidRPr="00561577">
        <w:rPr>
          <w:i/>
          <w:iCs/>
          <w:sz w:val="22"/>
          <w:szCs w:val="22"/>
        </w:rPr>
        <w:t xml:space="preserve"> RCP4.5 és RCP8.5 kibocsátási forgatókönyvek </w:t>
      </w:r>
      <w:r w:rsidR="00922291" w:rsidRPr="00561577">
        <w:rPr>
          <w:i/>
          <w:iCs/>
          <w:sz w:val="22"/>
          <w:szCs w:val="22"/>
        </w:rPr>
        <w:t>globális jövőbeli trendjei.</w:t>
      </w:r>
    </w:p>
    <w:p w14:paraId="51D178C0" w14:textId="3AD33441" w:rsidR="00FB08B4" w:rsidRPr="00561577" w:rsidRDefault="006B0B8A" w:rsidP="00942C4F">
      <w:pPr>
        <w:pStyle w:val="Cmsor1"/>
        <w:widowControl/>
        <w:spacing w:before="120" w:after="120"/>
        <w:ind w:left="431" w:hanging="431"/>
        <w:rPr>
          <w:rFonts w:ascii="Times New Roman" w:hAnsi="Times New Roman" w:cs="Times New Roman"/>
          <w:b/>
          <w:bCs/>
          <w:color w:val="auto"/>
        </w:rPr>
      </w:pPr>
      <w:r w:rsidRPr="00561577">
        <w:rPr>
          <w:rFonts w:ascii="Times New Roman" w:hAnsi="Times New Roman" w:cs="Times New Roman"/>
          <w:b/>
          <w:bCs/>
          <w:color w:val="auto"/>
        </w:rPr>
        <w:t xml:space="preserve">4. </w:t>
      </w:r>
      <w:r w:rsidR="00FB08B4" w:rsidRPr="00561577">
        <w:rPr>
          <w:rFonts w:ascii="Times New Roman" w:hAnsi="Times New Roman" w:cs="Times New Roman"/>
          <w:b/>
          <w:bCs/>
          <w:color w:val="auto"/>
        </w:rPr>
        <w:t>Legfőbb eredmények</w:t>
      </w:r>
    </w:p>
    <w:p w14:paraId="4799E6E7" w14:textId="3B2555F9" w:rsidR="009D3F1B" w:rsidRPr="00561577" w:rsidRDefault="006B65A3" w:rsidP="001B2586">
      <w:pPr>
        <w:widowControl/>
        <w:spacing w:before="120" w:after="120"/>
        <w:ind w:firstLine="567"/>
        <w:contextualSpacing/>
        <w:rPr>
          <w:szCs w:val="24"/>
        </w:rPr>
      </w:pPr>
      <w:r w:rsidRPr="00561577">
        <w:rPr>
          <w:szCs w:val="24"/>
        </w:rPr>
        <w:t>A négy fő infrastruktúra-</w:t>
      </w:r>
      <w:r w:rsidR="00467FD5" w:rsidRPr="00561577">
        <w:rPr>
          <w:szCs w:val="24"/>
        </w:rPr>
        <w:t>csoportra</w:t>
      </w:r>
      <w:r w:rsidRPr="00561577">
        <w:rPr>
          <w:szCs w:val="24"/>
        </w:rPr>
        <w:t xml:space="preserve"> vett komplex éghajlati kitettség előtt röviden vizsgáljuk meg az azokhoz használt 11 alap indikátor</w:t>
      </w:r>
      <w:r w:rsidR="00BE2641" w:rsidRPr="00561577">
        <w:rPr>
          <w:szCs w:val="24"/>
        </w:rPr>
        <w:t xml:space="preserve"> súlyozás nélküli </w:t>
      </w:r>
      <w:r w:rsidR="00EB3291" w:rsidRPr="00561577">
        <w:rPr>
          <w:szCs w:val="24"/>
        </w:rPr>
        <w:t xml:space="preserve">medián </w:t>
      </w:r>
      <w:r w:rsidR="00BE2641" w:rsidRPr="00561577">
        <w:rPr>
          <w:szCs w:val="24"/>
        </w:rPr>
        <w:t>változását</w:t>
      </w:r>
      <w:r w:rsidRPr="00561577">
        <w:rPr>
          <w:szCs w:val="24"/>
        </w:rPr>
        <w:t xml:space="preserve">! </w:t>
      </w:r>
      <w:r w:rsidR="00EB3291" w:rsidRPr="00561577">
        <w:rPr>
          <w:szCs w:val="24"/>
        </w:rPr>
        <w:t>Jól látszik, hogy az összes indikátor esetén a 2071-2100 időszakra és a pesszimista forgatókönyv szerint várhatjuk a legjelentősebb változásokat, míg minden esetben a közelebbi időszak</w:t>
      </w:r>
      <w:r w:rsidR="00B06EC5" w:rsidRPr="00561577">
        <w:rPr>
          <w:szCs w:val="24"/>
        </w:rPr>
        <w:t>ban számíthatunk</w:t>
      </w:r>
      <w:r w:rsidR="00EB3291" w:rsidRPr="00561577">
        <w:rPr>
          <w:szCs w:val="24"/>
        </w:rPr>
        <w:t xml:space="preserve"> az 1981-2010 referenciaidőszaktól vett kisebb </w:t>
      </w:r>
      <w:r w:rsidR="00260E8D" w:rsidRPr="00561577">
        <w:rPr>
          <w:szCs w:val="24"/>
        </w:rPr>
        <w:t>eltérésekre.</w:t>
      </w:r>
      <w:r w:rsidR="00B06EC5" w:rsidRPr="00561577">
        <w:rPr>
          <w:szCs w:val="24"/>
        </w:rPr>
        <w:t xml:space="preserve"> A két kibocsátási forgatókönyv között a század végére jelentkezik a legnagyobb különbség</w:t>
      </w:r>
      <w:r w:rsidR="00D87D00" w:rsidRPr="00561577">
        <w:rPr>
          <w:szCs w:val="24"/>
        </w:rPr>
        <w:t xml:space="preserve"> is</w:t>
      </w:r>
      <w:r w:rsidR="00B06EC5" w:rsidRPr="00561577">
        <w:rPr>
          <w:szCs w:val="24"/>
        </w:rPr>
        <w:t>. Természetesen bármely indikátor esetében az országon belül jelentősebb eltérések is előfordulnak (ábra nélkül).</w:t>
      </w:r>
    </w:p>
    <w:p w14:paraId="5F216B4B" w14:textId="77777777" w:rsidR="00BE2641" w:rsidRPr="00561577" w:rsidRDefault="00BE2641" w:rsidP="00FB08B4">
      <w:pPr>
        <w:rPr>
          <w:szCs w:val="24"/>
        </w:rPr>
      </w:pPr>
    </w:p>
    <w:p w14:paraId="3D6742C3" w14:textId="1031135A" w:rsidR="00BE2641" w:rsidRPr="00561577" w:rsidRDefault="00EB3291" w:rsidP="00EB3291">
      <w:pPr>
        <w:ind w:left="-1247"/>
        <w:rPr>
          <w:szCs w:val="24"/>
        </w:rPr>
      </w:pPr>
      <w:r w:rsidRPr="00561577">
        <w:rPr>
          <w:szCs w:val="24"/>
        </w:rPr>
        <w:object w:dxaOrig="10280" w:dyaOrig="3759" w14:anchorId="45C017B2">
          <v:shape id="_x0000_i1026" type="#_x0000_t75" style="width:513.75pt;height:188.25pt" o:ole="">
            <v:imagedata r:id="rId13" o:title=""/>
          </v:shape>
          <o:OLEObject Type="Embed" ProgID="Excel.Sheet.12" ShapeID="_x0000_i1026" DrawAspect="Content" ObjectID="_1758097717" r:id="rId14"/>
        </w:object>
      </w:r>
    </w:p>
    <w:p w14:paraId="163C5BD8" w14:textId="39394BCE" w:rsidR="00EB3291" w:rsidRPr="00561577" w:rsidRDefault="00942C4F" w:rsidP="00942C4F">
      <w:pPr>
        <w:pStyle w:val="Listaszerbekezds"/>
        <w:numPr>
          <w:ilvl w:val="0"/>
          <w:numId w:val="4"/>
        </w:numPr>
        <w:spacing w:before="120" w:after="120"/>
        <w:ind w:left="357" w:hanging="357"/>
        <w:jc w:val="center"/>
        <w:rPr>
          <w:i/>
          <w:iCs/>
          <w:sz w:val="22"/>
          <w:szCs w:val="22"/>
        </w:rPr>
      </w:pPr>
      <w:r w:rsidRPr="00561577">
        <w:rPr>
          <w:i/>
          <w:iCs/>
          <w:sz w:val="22"/>
          <w:szCs w:val="22"/>
        </w:rPr>
        <w:t>t</w:t>
      </w:r>
      <w:r w:rsidR="00EB3291" w:rsidRPr="00561577">
        <w:rPr>
          <w:i/>
          <w:iCs/>
          <w:sz w:val="22"/>
          <w:szCs w:val="22"/>
        </w:rPr>
        <w:t>áblázat: Az infrastruktúra elemeinél használt éghajlati kitettségi indikátorok és azok várható jövőbeli medián változása</w:t>
      </w:r>
      <w:r w:rsidR="00260E8D" w:rsidRPr="00561577">
        <w:rPr>
          <w:i/>
          <w:iCs/>
          <w:sz w:val="22"/>
          <w:szCs w:val="22"/>
        </w:rPr>
        <w:t xml:space="preserve"> (+: növekedés, -: csökkenés, 0: kisebb változások)</w:t>
      </w:r>
      <w:r w:rsidR="00EB3291" w:rsidRPr="00561577">
        <w:rPr>
          <w:i/>
          <w:iCs/>
          <w:sz w:val="22"/>
          <w:szCs w:val="22"/>
        </w:rPr>
        <w:t xml:space="preserve"> a két jövőbeli időszakra és a két forgatókönyv esetén.</w:t>
      </w:r>
      <w:r w:rsidR="00260E8D" w:rsidRPr="00561577">
        <w:rPr>
          <w:i/>
          <w:iCs/>
          <w:sz w:val="22"/>
          <w:szCs w:val="22"/>
        </w:rPr>
        <w:t xml:space="preserve"> Referencia: 1981-2010.</w:t>
      </w:r>
    </w:p>
    <w:p w14:paraId="16C51D47" w14:textId="77777777" w:rsidR="00EB3291" w:rsidRPr="00561577" w:rsidRDefault="00EB3291" w:rsidP="00EB3291">
      <w:pPr>
        <w:rPr>
          <w:szCs w:val="24"/>
        </w:rPr>
      </w:pPr>
    </w:p>
    <w:p w14:paraId="1D9D1C7F" w14:textId="54242AA1" w:rsidR="005B323F" w:rsidRPr="00561577" w:rsidRDefault="0067372D" w:rsidP="001B2586">
      <w:pPr>
        <w:widowControl/>
        <w:spacing w:before="120" w:after="120"/>
        <w:ind w:firstLine="567"/>
        <w:contextualSpacing/>
        <w:rPr>
          <w:szCs w:val="24"/>
        </w:rPr>
      </w:pPr>
      <w:r w:rsidRPr="00561577">
        <w:rPr>
          <w:szCs w:val="24"/>
        </w:rPr>
        <w:t xml:space="preserve">A komplex éghajlati kitettség </w:t>
      </w:r>
      <w:r w:rsidR="00283133" w:rsidRPr="00561577">
        <w:rPr>
          <w:szCs w:val="24"/>
        </w:rPr>
        <w:t xml:space="preserve">számítása során a medián változásokat tekintettük minden egyes indikátorra, majd ezeket a megállapított súllyal egy 0-1 közötti skálára bontva </w:t>
      </w:r>
      <w:proofErr w:type="spellStart"/>
      <w:r w:rsidR="00283133" w:rsidRPr="00561577">
        <w:rPr>
          <w:szCs w:val="24"/>
        </w:rPr>
        <w:t>dimenziótlanítottuk</w:t>
      </w:r>
      <w:proofErr w:type="spellEnd"/>
      <w:r w:rsidR="00283133" w:rsidRPr="00561577">
        <w:rPr>
          <w:szCs w:val="24"/>
        </w:rPr>
        <w:t>. A villamosenergia átviteli hálózatára 9 indikátort v</w:t>
      </w:r>
      <w:r w:rsidR="0097771F" w:rsidRPr="00561577">
        <w:rPr>
          <w:szCs w:val="24"/>
        </w:rPr>
        <w:t>álasztottunk ki</w:t>
      </w:r>
      <w:r w:rsidR="00283133" w:rsidRPr="00561577">
        <w:rPr>
          <w:szCs w:val="24"/>
        </w:rPr>
        <w:t>, melye</w:t>
      </w:r>
      <w:r w:rsidR="0097771F" w:rsidRPr="00561577">
        <w:rPr>
          <w:szCs w:val="24"/>
        </w:rPr>
        <w:t>k közül a legnagyobb súllyal az éves szélsebesség maximuma és az éves maximumhőmérséklet maximuma bírt, a legkisebbel pedig a 23 mm feletti csapadékú napok és a téli csapadékintenzitás</w:t>
      </w:r>
      <w:r w:rsidR="00283133" w:rsidRPr="00561577">
        <w:rPr>
          <w:szCs w:val="24"/>
        </w:rPr>
        <w:t>. A</w:t>
      </w:r>
      <w:r w:rsidR="005B323F" w:rsidRPr="00561577">
        <w:rPr>
          <w:szCs w:val="24"/>
        </w:rPr>
        <w:t xml:space="preserve"> 2021-2050 időszakra még csak az ország kis területén várható számottevő változás, a század végére azonban az ország nagy részén az RCP4.5 szerint is közepes változások valószínűek, míg az RCP8.5 szerint az ország nagy területén jelentős változásra kell felkészülnünk.</w:t>
      </w:r>
    </w:p>
    <w:p w14:paraId="10A0EAF4" w14:textId="741789C5" w:rsidR="00260E8D" w:rsidRPr="00561577" w:rsidRDefault="005B323F" w:rsidP="001B2586">
      <w:pPr>
        <w:widowControl/>
        <w:spacing w:before="120" w:after="120"/>
        <w:ind w:firstLine="567"/>
        <w:contextualSpacing/>
        <w:rPr>
          <w:szCs w:val="24"/>
        </w:rPr>
      </w:pPr>
      <w:r w:rsidRPr="00561577">
        <w:rPr>
          <w:szCs w:val="24"/>
        </w:rPr>
        <w:t>Hasonló eredményeket kapunk a nagynyomású földgázvezetékek és a felszíni földgáz-elemek komplex kitettsége esetében</w:t>
      </w:r>
      <w:r w:rsidR="00CD3B74" w:rsidRPr="00561577">
        <w:rPr>
          <w:szCs w:val="24"/>
        </w:rPr>
        <w:t xml:space="preserve"> (ahol leginkább az erdőtűz veszély és az órás csapadékintenzitás maximuma számít legjobban)</w:t>
      </w:r>
      <w:r w:rsidR="00D87D00" w:rsidRPr="00561577">
        <w:rPr>
          <w:szCs w:val="24"/>
        </w:rPr>
        <w:t>:</w:t>
      </w:r>
      <w:r w:rsidRPr="00561577">
        <w:rPr>
          <w:szCs w:val="24"/>
        </w:rPr>
        <w:t xml:space="preserve"> ezeknél elsősorban az ország déli részén lehet jelentős változás a század végére az RCP8.5 szerint, míg a század közepén szinte még közepes változás</w:t>
      </w:r>
      <w:r w:rsidR="00CD3B74" w:rsidRPr="00561577">
        <w:rPr>
          <w:szCs w:val="24"/>
        </w:rPr>
        <w:t xml:space="preserve"> sem lehet</w:t>
      </w:r>
      <w:r w:rsidRPr="00561577">
        <w:rPr>
          <w:szCs w:val="24"/>
        </w:rPr>
        <w:t xml:space="preserve"> </w:t>
      </w:r>
      <w:r w:rsidR="00283133" w:rsidRPr="00561577">
        <w:rPr>
          <w:szCs w:val="24"/>
        </w:rPr>
        <w:t>(ábra nélkül).</w:t>
      </w:r>
      <w:r w:rsidR="00CD3B74" w:rsidRPr="00561577">
        <w:rPr>
          <w:szCs w:val="24"/>
        </w:rPr>
        <w:t xml:space="preserve"> A távhővezetékek esetében pedig az 5 indikátorból képzett komplex kitettségi mutató azt jelzi, hogy ugyan kisebb lehet a különbség az egyes forgatókönyvek és időszakok eredményei között, a század végére és az RCP8.5-öt követve mégis nagyobb változások is lehetnek – kivétel </w:t>
      </w:r>
      <w:r w:rsidR="00D87D00" w:rsidRPr="00561577">
        <w:rPr>
          <w:szCs w:val="24"/>
        </w:rPr>
        <w:t>ez alól</w:t>
      </w:r>
      <w:r w:rsidR="00CD3B74" w:rsidRPr="00561577">
        <w:rPr>
          <w:szCs w:val="24"/>
        </w:rPr>
        <w:t xml:space="preserve"> az ország DK-i rész</w:t>
      </w:r>
      <w:r w:rsidR="00D87D00" w:rsidRPr="00561577">
        <w:rPr>
          <w:szCs w:val="24"/>
        </w:rPr>
        <w:t>ét</w:t>
      </w:r>
      <w:r w:rsidR="00CD3B74" w:rsidRPr="00561577">
        <w:rPr>
          <w:szCs w:val="24"/>
        </w:rPr>
        <w:t xml:space="preserve"> (ábra n</w:t>
      </w:r>
      <w:r w:rsidR="00D87D00" w:rsidRPr="00561577">
        <w:rPr>
          <w:szCs w:val="24"/>
        </w:rPr>
        <w:t>é</w:t>
      </w:r>
      <w:r w:rsidR="00CD3B74" w:rsidRPr="00561577">
        <w:rPr>
          <w:szCs w:val="24"/>
        </w:rPr>
        <w:t xml:space="preserve">lkül). </w:t>
      </w:r>
    </w:p>
    <w:p w14:paraId="144471E2" w14:textId="77777777" w:rsidR="00283133" w:rsidRPr="00561577" w:rsidRDefault="00283133" w:rsidP="00EB3291">
      <w:pPr>
        <w:rPr>
          <w:szCs w:val="24"/>
        </w:rPr>
      </w:pPr>
    </w:p>
    <w:tbl>
      <w:tblPr>
        <w:tblStyle w:val="Rcsostblzat"/>
        <w:tblW w:w="11058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355"/>
        <w:gridCol w:w="5277"/>
      </w:tblGrid>
      <w:tr w:rsidR="00283133" w:rsidRPr="00561577" w14:paraId="4B8F31D5" w14:textId="77777777" w:rsidTr="0097771F">
        <w:trPr>
          <w:jc w:val="center"/>
        </w:trPr>
        <w:tc>
          <w:tcPr>
            <w:tcW w:w="426" w:type="dxa"/>
          </w:tcPr>
          <w:p w14:paraId="664124B9" w14:textId="77777777" w:rsidR="00283133" w:rsidRPr="00561577" w:rsidRDefault="00283133" w:rsidP="00EB3291">
            <w:pPr>
              <w:ind w:firstLine="0"/>
              <w:rPr>
                <w:szCs w:val="24"/>
              </w:rPr>
            </w:pPr>
          </w:p>
        </w:tc>
        <w:tc>
          <w:tcPr>
            <w:tcW w:w="5355" w:type="dxa"/>
          </w:tcPr>
          <w:p w14:paraId="6C2AB462" w14:textId="4E477B8D" w:rsidR="00283133" w:rsidRPr="00561577" w:rsidRDefault="00283133" w:rsidP="0097771F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561577">
              <w:rPr>
                <w:b/>
                <w:bCs/>
                <w:szCs w:val="24"/>
              </w:rPr>
              <w:t>RCP4.5</w:t>
            </w:r>
          </w:p>
        </w:tc>
        <w:tc>
          <w:tcPr>
            <w:tcW w:w="5277" w:type="dxa"/>
          </w:tcPr>
          <w:p w14:paraId="3D56F203" w14:textId="4A7813CC" w:rsidR="00283133" w:rsidRPr="00561577" w:rsidRDefault="00283133" w:rsidP="0097771F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561577">
              <w:rPr>
                <w:b/>
                <w:bCs/>
                <w:szCs w:val="24"/>
              </w:rPr>
              <w:t>RCP8.5</w:t>
            </w:r>
          </w:p>
        </w:tc>
      </w:tr>
      <w:tr w:rsidR="00283133" w:rsidRPr="00561577" w14:paraId="5160B3E9" w14:textId="77777777" w:rsidTr="0097771F">
        <w:trPr>
          <w:cantSplit/>
          <w:trHeight w:val="1134"/>
          <w:jc w:val="center"/>
        </w:trPr>
        <w:tc>
          <w:tcPr>
            <w:tcW w:w="426" w:type="dxa"/>
            <w:textDirection w:val="btLr"/>
          </w:tcPr>
          <w:p w14:paraId="4F77A2ED" w14:textId="7405644D" w:rsidR="00283133" w:rsidRPr="00561577" w:rsidRDefault="00283133" w:rsidP="0097771F">
            <w:pPr>
              <w:ind w:left="113" w:right="113" w:firstLine="0"/>
              <w:jc w:val="center"/>
              <w:rPr>
                <w:b/>
                <w:bCs/>
                <w:szCs w:val="24"/>
              </w:rPr>
            </w:pPr>
            <w:r w:rsidRPr="00561577">
              <w:rPr>
                <w:b/>
                <w:bCs/>
                <w:szCs w:val="24"/>
              </w:rPr>
              <w:t>2021-2050</w:t>
            </w:r>
          </w:p>
        </w:tc>
        <w:tc>
          <w:tcPr>
            <w:tcW w:w="5355" w:type="dxa"/>
          </w:tcPr>
          <w:p w14:paraId="3BB2432D" w14:textId="3C6B4CB6" w:rsidR="00283133" w:rsidRPr="00561577" w:rsidRDefault="00283133" w:rsidP="00EB3291">
            <w:pPr>
              <w:ind w:firstLine="0"/>
              <w:rPr>
                <w:szCs w:val="24"/>
              </w:rPr>
            </w:pPr>
            <w:r w:rsidRPr="00561577">
              <w:rPr>
                <w:noProof/>
                <w:szCs w:val="24"/>
              </w:rPr>
              <w:drawing>
                <wp:inline distT="0" distB="0" distL="0" distR="0" wp14:anchorId="1F5B975E" wp14:editId="72C84DA2">
                  <wp:extent cx="3272400" cy="2142000"/>
                  <wp:effectExtent l="0" t="0" r="4445" b="0"/>
                  <wp:docPr id="169739619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895"/>
                          <a:stretch/>
                        </pic:blipFill>
                        <pic:spPr bwMode="auto">
                          <a:xfrm>
                            <a:off x="0" y="0"/>
                            <a:ext cx="3272400" cy="21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7" w:type="dxa"/>
          </w:tcPr>
          <w:p w14:paraId="40C7F076" w14:textId="55E85643" w:rsidR="00283133" w:rsidRPr="00561577" w:rsidRDefault="0097771F" w:rsidP="00EB3291">
            <w:pPr>
              <w:ind w:firstLine="0"/>
              <w:rPr>
                <w:szCs w:val="24"/>
              </w:rPr>
            </w:pPr>
            <w:r w:rsidRPr="00561577">
              <w:rPr>
                <w:noProof/>
                <w:szCs w:val="24"/>
              </w:rPr>
              <w:drawing>
                <wp:inline distT="0" distB="0" distL="0" distR="0" wp14:anchorId="360639EB" wp14:editId="1FC56534">
                  <wp:extent cx="3272400" cy="2142000"/>
                  <wp:effectExtent l="0" t="0" r="4445" b="0"/>
                  <wp:docPr id="102377337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883"/>
                          <a:stretch/>
                        </pic:blipFill>
                        <pic:spPr bwMode="auto">
                          <a:xfrm>
                            <a:off x="0" y="0"/>
                            <a:ext cx="3272400" cy="21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133" w:rsidRPr="00561577" w14:paraId="3B8615DA" w14:textId="77777777" w:rsidTr="0097771F">
        <w:trPr>
          <w:cantSplit/>
          <w:trHeight w:val="1134"/>
          <w:jc w:val="center"/>
        </w:trPr>
        <w:tc>
          <w:tcPr>
            <w:tcW w:w="426" w:type="dxa"/>
            <w:textDirection w:val="btLr"/>
          </w:tcPr>
          <w:p w14:paraId="05E2D1B5" w14:textId="7AAB3F13" w:rsidR="00283133" w:rsidRPr="00561577" w:rsidRDefault="00283133" w:rsidP="0097771F">
            <w:pPr>
              <w:ind w:left="113" w:right="113" w:firstLine="0"/>
              <w:jc w:val="center"/>
              <w:rPr>
                <w:b/>
                <w:bCs/>
                <w:szCs w:val="24"/>
              </w:rPr>
            </w:pPr>
            <w:r w:rsidRPr="00561577">
              <w:rPr>
                <w:b/>
                <w:bCs/>
                <w:szCs w:val="24"/>
              </w:rPr>
              <w:t>2071-2100</w:t>
            </w:r>
          </w:p>
        </w:tc>
        <w:tc>
          <w:tcPr>
            <w:tcW w:w="5355" w:type="dxa"/>
          </w:tcPr>
          <w:p w14:paraId="6993BAFC" w14:textId="2D28419A" w:rsidR="00283133" w:rsidRPr="00561577" w:rsidRDefault="0097771F" w:rsidP="00EB3291">
            <w:pPr>
              <w:ind w:firstLine="0"/>
              <w:rPr>
                <w:szCs w:val="24"/>
              </w:rPr>
            </w:pPr>
            <w:r w:rsidRPr="00561577">
              <w:rPr>
                <w:noProof/>
                <w:szCs w:val="24"/>
              </w:rPr>
              <w:drawing>
                <wp:inline distT="0" distB="0" distL="0" distR="0" wp14:anchorId="1B8CFA43" wp14:editId="78A9A900">
                  <wp:extent cx="3272400" cy="2142000"/>
                  <wp:effectExtent l="0" t="0" r="4445" b="0"/>
                  <wp:docPr id="1511349920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895"/>
                          <a:stretch/>
                        </pic:blipFill>
                        <pic:spPr bwMode="auto">
                          <a:xfrm>
                            <a:off x="0" y="0"/>
                            <a:ext cx="3272400" cy="21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7" w:type="dxa"/>
          </w:tcPr>
          <w:p w14:paraId="63793228" w14:textId="13B5FA27" w:rsidR="00283133" w:rsidRPr="00561577" w:rsidRDefault="0097771F" w:rsidP="00EB3291">
            <w:pPr>
              <w:ind w:firstLine="0"/>
              <w:rPr>
                <w:szCs w:val="24"/>
              </w:rPr>
            </w:pPr>
            <w:r w:rsidRPr="00561577">
              <w:rPr>
                <w:noProof/>
                <w:szCs w:val="24"/>
              </w:rPr>
              <w:drawing>
                <wp:inline distT="0" distB="0" distL="0" distR="0" wp14:anchorId="363A75BB" wp14:editId="7D852A03">
                  <wp:extent cx="3272400" cy="2142000"/>
                  <wp:effectExtent l="0" t="0" r="4445" b="0"/>
                  <wp:docPr id="207339699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883"/>
                          <a:stretch/>
                        </pic:blipFill>
                        <pic:spPr bwMode="auto">
                          <a:xfrm>
                            <a:off x="0" y="0"/>
                            <a:ext cx="3272400" cy="21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A94658" w14:textId="5B07C6B2" w:rsidR="00283133" w:rsidRPr="00561577" w:rsidRDefault="00942C4F" w:rsidP="00942C4F">
      <w:pPr>
        <w:pStyle w:val="Listaszerbekezds"/>
        <w:numPr>
          <w:ilvl w:val="0"/>
          <w:numId w:val="3"/>
        </w:numPr>
        <w:spacing w:before="120" w:after="120"/>
        <w:ind w:left="357" w:hanging="357"/>
        <w:jc w:val="center"/>
        <w:rPr>
          <w:i/>
          <w:iCs/>
          <w:sz w:val="22"/>
          <w:szCs w:val="22"/>
        </w:rPr>
      </w:pPr>
      <w:r w:rsidRPr="00561577">
        <w:rPr>
          <w:i/>
          <w:iCs/>
          <w:sz w:val="22"/>
          <w:szCs w:val="22"/>
        </w:rPr>
        <w:t>á</w:t>
      </w:r>
      <w:r w:rsidR="0097771F" w:rsidRPr="00561577">
        <w:rPr>
          <w:i/>
          <w:iCs/>
          <w:sz w:val="22"/>
          <w:szCs w:val="22"/>
        </w:rPr>
        <w:t xml:space="preserve">bra: A villamosenergia átviteli hálózatának komplex éghajlati kitettsége a két jövőbeli időszakra és a két kibocsátási forgatókönyvre. Zöld: </w:t>
      </w:r>
      <w:r w:rsidR="005B323F" w:rsidRPr="00561577">
        <w:rPr>
          <w:i/>
          <w:iCs/>
          <w:sz w:val="22"/>
          <w:szCs w:val="22"/>
        </w:rPr>
        <w:t>legfeljebb kisebb</w:t>
      </w:r>
      <w:r w:rsidR="0097771F" w:rsidRPr="00561577">
        <w:rPr>
          <w:i/>
          <w:iCs/>
          <w:sz w:val="22"/>
          <w:szCs w:val="22"/>
        </w:rPr>
        <w:t xml:space="preserve"> változás, sárga: közepes változás, piros: jelentős változás.</w:t>
      </w:r>
    </w:p>
    <w:sectPr w:rsidR="00283133" w:rsidRPr="00561577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B6EE" w14:textId="77777777" w:rsidR="002B0387" w:rsidRDefault="002B0387" w:rsidP="002B0387">
      <w:r>
        <w:separator/>
      </w:r>
    </w:p>
  </w:endnote>
  <w:endnote w:type="continuationSeparator" w:id="0">
    <w:p w14:paraId="2AFAC981" w14:textId="77777777" w:rsidR="002B0387" w:rsidRDefault="002B0387" w:rsidP="002B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5634708"/>
      <w:docPartObj>
        <w:docPartGallery w:val="Page Numbers (Bottom of Page)"/>
        <w:docPartUnique/>
      </w:docPartObj>
    </w:sdtPr>
    <w:sdtContent>
      <w:p w14:paraId="6BC55F71" w14:textId="141B5648" w:rsidR="002B0387" w:rsidRDefault="002B038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97D99" w14:textId="77777777" w:rsidR="002B0387" w:rsidRDefault="002B0387" w:rsidP="002B0387">
    <w:pPr>
      <w:pStyle w:val="llb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CF2C" w14:textId="77777777" w:rsidR="002B0387" w:rsidRDefault="002B0387" w:rsidP="002B0387">
      <w:r>
        <w:separator/>
      </w:r>
    </w:p>
  </w:footnote>
  <w:footnote w:type="continuationSeparator" w:id="0">
    <w:p w14:paraId="68CD22B0" w14:textId="77777777" w:rsidR="002B0387" w:rsidRDefault="002B0387" w:rsidP="002B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2C42BA"/>
    <w:lvl w:ilvl="0">
      <w:numFmt w:val="bullet"/>
      <w:lvlText w:val="*"/>
      <w:lvlJc w:val="left"/>
    </w:lvl>
  </w:abstractNum>
  <w:abstractNum w:abstractNumId="1" w15:restartNumberingAfterBreak="0">
    <w:nsid w:val="04850093"/>
    <w:multiLevelType w:val="hybridMultilevel"/>
    <w:tmpl w:val="97529AEE"/>
    <w:lvl w:ilvl="0" w:tplc="464C53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F602444"/>
    <w:multiLevelType w:val="hybridMultilevel"/>
    <w:tmpl w:val="23F61B5C"/>
    <w:lvl w:ilvl="0" w:tplc="E85EF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641B95"/>
    <w:multiLevelType w:val="hybridMultilevel"/>
    <w:tmpl w:val="C9B0F63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7C6FD7"/>
    <w:multiLevelType w:val="hybridMultilevel"/>
    <w:tmpl w:val="B83EAC30"/>
    <w:lvl w:ilvl="0" w:tplc="20F6EBD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color w:val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83658180">
    <w:abstractNumId w:val="4"/>
  </w:num>
  <w:num w:numId="2" w16cid:durableId="55458848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 w16cid:durableId="2114201960">
    <w:abstractNumId w:val="1"/>
  </w:num>
  <w:num w:numId="4" w16cid:durableId="1967857822">
    <w:abstractNumId w:val="2"/>
  </w:num>
  <w:num w:numId="5" w16cid:durableId="1924102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8A"/>
    <w:rsid w:val="00043CC4"/>
    <w:rsid w:val="000C3DA0"/>
    <w:rsid w:val="000F0347"/>
    <w:rsid w:val="000F3E0F"/>
    <w:rsid w:val="00123E8B"/>
    <w:rsid w:val="00135869"/>
    <w:rsid w:val="001519C2"/>
    <w:rsid w:val="00182BC7"/>
    <w:rsid w:val="001A17DF"/>
    <w:rsid w:val="001B2586"/>
    <w:rsid w:val="001C5E8A"/>
    <w:rsid w:val="001D49E9"/>
    <w:rsid w:val="002145D6"/>
    <w:rsid w:val="002301E5"/>
    <w:rsid w:val="0023023F"/>
    <w:rsid w:val="00260E8D"/>
    <w:rsid w:val="00283133"/>
    <w:rsid w:val="00283C5B"/>
    <w:rsid w:val="002B0387"/>
    <w:rsid w:val="00313182"/>
    <w:rsid w:val="00383E83"/>
    <w:rsid w:val="003D091E"/>
    <w:rsid w:val="003D4AF1"/>
    <w:rsid w:val="00451E57"/>
    <w:rsid w:val="0046207A"/>
    <w:rsid w:val="00467FD5"/>
    <w:rsid w:val="004B4FBE"/>
    <w:rsid w:val="004D20E1"/>
    <w:rsid w:val="004F4475"/>
    <w:rsid w:val="00561577"/>
    <w:rsid w:val="00584C5D"/>
    <w:rsid w:val="005B323F"/>
    <w:rsid w:val="005B5DEB"/>
    <w:rsid w:val="00670711"/>
    <w:rsid w:val="0067372D"/>
    <w:rsid w:val="006B0B8A"/>
    <w:rsid w:val="006B65A3"/>
    <w:rsid w:val="00717A4D"/>
    <w:rsid w:val="0074292E"/>
    <w:rsid w:val="007E22EF"/>
    <w:rsid w:val="00890705"/>
    <w:rsid w:val="00895945"/>
    <w:rsid w:val="008A0570"/>
    <w:rsid w:val="008C5884"/>
    <w:rsid w:val="00922291"/>
    <w:rsid w:val="00942C4F"/>
    <w:rsid w:val="0097771F"/>
    <w:rsid w:val="009C4440"/>
    <w:rsid w:val="009D3F1B"/>
    <w:rsid w:val="009E1F7F"/>
    <w:rsid w:val="009F02C9"/>
    <w:rsid w:val="00A069DA"/>
    <w:rsid w:val="00A60ADC"/>
    <w:rsid w:val="00A75C43"/>
    <w:rsid w:val="00A768EF"/>
    <w:rsid w:val="00B06EC5"/>
    <w:rsid w:val="00B16CEE"/>
    <w:rsid w:val="00B340FF"/>
    <w:rsid w:val="00B57373"/>
    <w:rsid w:val="00B60889"/>
    <w:rsid w:val="00BA5555"/>
    <w:rsid w:val="00BE2641"/>
    <w:rsid w:val="00BF16A5"/>
    <w:rsid w:val="00C255F6"/>
    <w:rsid w:val="00C31472"/>
    <w:rsid w:val="00C55E01"/>
    <w:rsid w:val="00CA76B3"/>
    <w:rsid w:val="00CD3B74"/>
    <w:rsid w:val="00D237FD"/>
    <w:rsid w:val="00D529F5"/>
    <w:rsid w:val="00D8317A"/>
    <w:rsid w:val="00D87D00"/>
    <w:rsid w:val="00E31C37"/>
    <w:rsid w:val="00E537F6"/>
    <w:rsid w:val="00EB3291"/>
    <w:rsid w:val="00F355F5"/>
    <w:rsid w:val="00FA648A"/>
    <w:rsid w:val="00FB08B4"/>
    <w:rsid w:val="00FE7EBF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144B06"/>
  <w15:chartTrackingRefBased/>
  <w15:docId w15:val="{BE9411E2-9560-4272-96E5-42D37F36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49E9"/>
    <w:pPr>
      <w:widowControl w:val="0"/>
      <w:ind w:firstLine="709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537F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537F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145D6"/>
    <w:pPr>
      <w:keepNext/>
      <w:keepLines/>
      <w:spacing w:before="120" w:after="120"/>
      <w:ind w:left="709"/>
      <w:outlineLvl w:val="2"/>
    </w:pPr>
    <w:rPr>
      <w:rFonts w:eastAsiaTheme="majorEastAsia" w:cstheme="majorBidi"/>
      <w:b/>
      <w:i/>
      <w:color w:val="1F3763" w:themeColor="accent1" w:themeShade="7F"/>
      <w:sz w:val="28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2145D6"/>
    <w:pPr>
      <w:keepNext/>
      <w:keepLines/>
      <w:spacing w:before="120" w:after="120"/>
      <w:outlineLvl w:val="3"/>
    </w:pPr>
    <w:rPr>
      <w:rFonts w:eastAsiaTheme="majorEastAsia"/>
      <w:b/>
      <w:i/>
      <w:iCs/>
      <w:color w:val="2F5496" w:themeColor="accent1" w:themeShade="BF"/>
      <w:sz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537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537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53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537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537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E537F6"/>
    <w:rPr>
      <w:rFonts w:eastAsia="Times New Roman"/>
      <w:i/>
    </w:rPr>
  </w:style>
  <w:style w:type="character" w:customStyle="1" w:styleId="apple-style-span">
    <w:name w:val="apple-style-span"/>
    <w:basedOn w:val="Bekezdsalapbettpusa"/>
    <w:rsid w:val="00E537F6"/>
  </w:style>
  <w:style w:type="character" w:customStyle="1" w:styleId="Cmsor1Char">
    <w:name w:val="Címsor 1 Char"/>
    <w:basedOn w:val="Bekezdsalapbettpusa"/>
    <w:link w:val="Cmsor1"/>
    <w:uiPriority w:val="9"/>
    <w:rsid w:val="00E537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537F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2145D6"/>
    <w:rPr>
      <w:rFonts w:ascii="Times New Roman" w:eastAsiaTheme="majorEastAsia" w:hAnsi="Times New Roman" w:cstheme="majorBidi"/>
      <w:b/>
      <w:i/>
      <w:color w:val="1F3763" w:themeColor="accent1" w:themeShade="7F"/>
      <w:sz w:val="28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FE7EBF"/>
    <w:pPr>
      <w:spacing w:before="240" w:after="240"/>
      <w:contextualSpacing/>
      <w:jc w:val="center"/>
    </w:pPr>
    <w:rPr>
      <w:rFonts w:eastAsiaTheme="majorEastAsia"/>
      <w:b/>
      <w:bCs/>
      <w:spacing w:val="-10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FE7EBF"/>
    <w:rPr>
      <w:rFonts w:eastAsiaTheme="majorEastAsia"/>
      <w:b/>
      <w:bCs/>
      <w:spacing w:val="-10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E537F6"/>
    <w:pPr>
      <w:numPr>
        <w:ilvl w:val="1"/>
      </w:numPr>
      <w:ind w:firstLine="709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E537F6"/>
    <w:rPr>
      <w:rFonts w:asciiTheme="majorHAnsi" w:eastAsiaTheme="majorEastAsia" w:hAnsiTheme="majorHAnsi" w:cstheme="majorBidi"/>
    </w:rPr>
  </w:style>
  <w:style w:type="paragraph" w:styleId="Dokumentumtrkp">
    <w:name w:val="Document Map"/>
    <w:basedOn w:val="Norml"/>
    <w:link w:val="DokumentumtrkpChar"/>
    <w:semiHidden/>
    <w:rsid w:val="00E537F6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kumentumtrkpChar">
    <w:name w:val="Dokumentumtérkép Char"/>
    <w:link w:val="Dokumentumtrkp"/>
    <w:semiHidden/>
    <w:rsid w:val="00E537F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msor4Char">
    <w:name w:val="Címsor 4 Char"/>
    <w:basedOn w:val="Bekezdsalapbettpusa"/>
    <w:link w:val="Cmsor4"/>
    <w:uiPriority w:val="9"/>
    <w:rsid w:val="002145D6"/>
    <w:rPr>
      <w:rFonts w:ascii="Times New Roman" w:eastAsiaTheme="majorEastAsia" w:hAnsi="Times New Roman" w:cs="Times New Roman"/>
      <w:b/>
      <w:i/>
      <w:iCs/>
      <w:color w:val="2F5496" w:themeColor="accent1" w:themeShade="BF"/>
      <w:sz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537F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537F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537F6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537F6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537F6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537F6"/>
    <w:rPr>
      <w:b/>
      <w:bCs/>
      <w:smallCaps/>
      <w:color w:val="595959" w:themeColor="text1" w:themeTint="A6"/>
      <w:spacing w:val="6"/>
    </w:rPr>
  </w:style>
  <w:style w:type="character" w:styleId="Kiemels2">
    <w:name w:val="Strong"/>
    <w:basedOn w:val="Bekezdsalapbettpusa"/>
    <w:uiPriority w:val="22"/>
    <w:qFormat/>
    <w:rsid w:val="00E537F6"/>
    <w:rPr>
      <w:b/>
      <w:bCs/>
    </w:rPr>
  </w:style>
  <w:style w:type="character" w:styleId="Kiemels">
    <w:name w:val="Emphasis"/>
    <w:basedOn w:val="Bekezdsalapbettpusa"/>
    <w:uiPriority w:val="20"/>
    <w:qFormat/>
    <w:rsid w:val="00E537F6"/>
    <w:rPr>
      <w:i/>
      <w:iCs/>
    </w:rPr>
  </w:style>
  <w:style w:type="paragraph" w:styleId="Nincstrkz">
    <w:name w:val="No Spacing"/>
    <w:uiPriority w:val="1"/>
    <w:qFormat/>
    <w:rsid w:val="00E537F6"/>
    <w:rPr>
      <w:rFonts w:eastAsiaTheme="minorEastAsia" w:cstheme="minorBidi"/>
    </w:rPr>
  </w:style>
  <w:style w:type="paragraph" w:styleId="Idzet">
    <w:name w:val="Quote"/>
    <w:basedOn w:val="Norml"/>
    <w:next w:val="Norml"/>
    <w:link w:val="IdzetChar"/>
    <w:uiPriority w:val="29"/>
    <w:qFormat/>
    <w:rsid w:val="00E537F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537F6"/>
    <w:rPr>
      <w:rFonts w:eastAsiaTheme="minorEastAsia" w:cstheme="minorBidi"/>
      <w:i/>
      <w:iCs/>
      <w:color w:val="404040" w:themeColor="text1" w:themeTint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537F6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537F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E537F6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E537F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E537F6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E537F6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E537F6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537F6"/>
    <w:pPr>
      <w:outlineLvl w:val="9"/>
    </w:pPr>
  </w:style>
  <w:style w:type="paragraph" w:styleId="NormlWeb">
    <w:name w:val="Normal (Web)"/>
    <w:basedOn w:val="Norml"/>
    <w:uiPriority w:val="99"/>
    <w:semiHidden/>
    <w:unhideWhenUsed/>
    <w:rsid w:val="009F02C9"/>
    <w:pPr>
      <w:widowControl/>
      <w:spacing w:before="100" w:beforeAutospacing="1" w:after="142" w:line="276" w:lineRule="auto"/>
      <w:ind w:firstLine="0"/>
      <w:jc w:val="left"/>
    </w:pPr>
    <w:rPr>
      <w:rFonts w:eastAsia="Times New Roman"/>
      <w:kern w:val="0"/>
      <w:szCs w:val="24"/>
      <w:lang w:val="en-US"/>
      <w14:ligatures w14:val="none"/>
    </w:rPr>
  </w:style>
  <w:style w:type="paragraph" w:styleId="Listaszerbekezds">
    <w:name w:val="List Paragraph"/>
    <w:basedOn w:val="Norml"/>
    <w:uiPriority w:val="34"/>
    <w:qFormat/>
    <w:rsid w:val="00313182"/>
    <w:pPr>
      <w:ind w:left="720"/>
      <w:contextualSpacing/>
    </w:pPr>
  </w:style>
  <w:style w:type="table" w:styleId="Rcsostblzat">
    <w:name w:val="Table Grid"/>
    <w:basedOn w:val="Normltblzat"/>
    <w:uiPriority w:val="59"/>
    <w:rsid w:val="0028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"/>
    <w:rsid w:val="001B2586"/>
    <w:pPr>
      <w:widowControl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val="en-GB" w:eastAsia="en-GB"/>
      <w14:ligatures w14:val="none"/>
    </w:rPr>
  </w:style>
  <w:style w:type="character" w:customStyle="1" w:styleId="normaltextrun">
    <w:name w:val="normaltextrun"/>
    <w:basedOn w:val="Bekezdsalapbettpusa"/>
    <w:rsid w:val="001B2586"/>
  </w:style>
  <w:style w:type="character" w:customStyle="1" w:styleId="eop">
    <w:name w:val="eop"/>
    <w:basedOn w:val="Bekezdsalapbettpusa"/>
    <w:rsid w:val="001B2586"/>
  </w:style>
  <w:style w:type="character" w:customStyle="1" w:styleId="scxw209437969">
    <w:name w:val="scxw209437969"/>
    <w:basedOn w:val="Bekezdsalapbettpusa"/>
    <w:rsid w:val="001B2586"/>
  </w:style>
  <w:style w:type="table" w:customStyle="1" w:styleId="Rcsostblzat1">
    <w:name w:val="Rácsos táblázat1"/>
    <w:basedOn w:val="Normltblzat"/>
    <w:next w:val="Rcsostblzat"/>
    <w:uiPriority w:val="39"/>
    <w:rsid w:val="0056157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B03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0387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2B03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03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1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1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BBFC655626741B7CB754A37DC25C2" ma:contentTypeVersion="14" ma:contentTypeDescription="Create a new document." ma:contentTypeScope="" ma:versionID="31277b49ef33c2665cf98eb09e8404e3">
  <xsd:schema xmlns:xsd="http://www.w3.org/2001/XMLSchema" xmlns:xs="http://www.w3.org/2001/XMLSchema" xmlns:p="http://schemas.microsoft.com/office/2006/metadata/properties" xmlns:ns2="6092a8dc-3e00-45e6-b1b9-c8e087d7ddd9" xmlns:ns3="3ceba177-9326-4cad-b877-713246cd3884" targetNamespace="http://schemas.microsoft.com/office/2006/metadata/properties" ma:root="true" ma:fieldsID="6c5d2a6383e2b2675308f8a29ab65530" ns2:_="" ns3:_="">
    <xsd:import namespace="6092a8dc-3e00-45e6-b1b9-c8e087d7ddd9"/>
    <xsd:import namespace="3ceba177-9326-4cad-b877-713246cd38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2a8dc-3e00-45e6-b1b9-c8e087d7dd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79dbe8a-fef8-4b6c-8099-c755d1d7a1b0}" ma:internalName="TaxCatchAll" ma:showField="CatchAllData" ma:web="6092a8dc-3e00-45e6-b1b9-c8e087d7d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ba177-9326-4cad-b877-713246cd3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a877ebb-f99b-4074-8dba-83d5413cfa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eba177-9326-4cad-b877-713246cd3884">
      <Terms xmlns="http://schemas.microsoft.com/office/infopath/2007/PartnerControls"/>
    </lcf76f155ced4ddcb4097134ff3c332f>
    <TaxCatchAll xmlns="6092a8dc-3e00-45e6-b1b9-c8e087d7ddd9" xsi:nil="true"/>
  </documentManagement>
</p:properties>
</file>

<file path=customXml/itemProps1.xml><?xml version="1.0" encoding="utf-8"?>
<ds:datastoreItem xmlns:ds="http://schemas.openxmlformats.org/officeDocument/2006/customXml" ds:itemID="{EB8E3768-A72C-422D-9B62-A02FCC34C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DCF69-AF95-4ADF-AD02-AF177E5A1670}"/>
</file>

<file path=customXml/itemProps3.xml><?xml version="1.0" encoding="utf-8"?>
<ds:datastoreItem xmlns:ds="http://schemas.openxmlformats.org/officeDocument/2006/customXml" ds:itemID="{29468166-FC40-4BB6-B011-8E4383CAD096}">
  <ds:schemaRefs>
    <ds:schemaRef ds:uri="http://schemas.microsoft.com/office/2006/metadata/properties"/>
    <ds:schemaRef ds:uri="http://schemas.microsoft.com/office/infopath/2007/PartnerControls"/>
    <ds:schemaRef ds:uri="3ceba177-9326-4cad-b877-713246cd3884"/>
    <ds:schemaRef ds:uri="6092a8dc-3e00-45e6-b1b9-c8e087d7dd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1164</Words>
  <Characters>8036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 István</dc:creator>
  <cp:keywords/>
  <dc:description/>
  <cp:lastModifiedBy>Selmeczi János Pál</cp:lastModifiedBy>
  <cp:revision>2</cp:revision>
  <dcterms:created xsi:type="dcterms:W3CDTF">2023-10-06T09:42:00Z</dcterms:created>
  <dcterms:modified xsi:type="dcterms:W3CDTF">2023-10-06T09:42:00Z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0x0101002B5BBFC655626741B7CB754A37DC25C2</vt:lpwstr>
  </property>
</Properties>
</file>