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87531A" w:rsidRPr="00592227" w:rsidRDefault="0087531A" w:rsidP="0087531A">
      <w:pPr>
        <w:ind w:firstLine="0"/>
        <w:rPr>
          <w:b/>
          <w:bCs/>
        </w:rPr>
      </w:pPr>
    </w:p>
    <w:tbl>
      <w:tblPr>
        <w:tblStyle w:val="16"/>
        <w:tblW w:w="907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84"/>
        <w:gridCol w:w="8788"/>
      </w:tblGrid>
      <w:tr w:rsidR="0087531A" w:rsidRPr="00592227" w14:paraId="28EB4EAC" w14:textId="77777777" w:rsidTr="00DC08C4">
        <w:trPr>
          <w:trHeight w:val="1904"/>
          <w:jc w:val="center"/>
        </w:trPr>
        <w:tc>
          <w:tcPr>
            <w:tcW w:w="284" w:type="dxa"/>
            <w:tcBorders>
              <w:right w:val="single" w:sz="18" w:space="0" w:color="4BACC6"/>
            </w:tcBorders>
            <w:vAlign w:val="center"/>
          </w:tcPr>
          <w:p w14:paraId="0A37501D" w14:textId="77777777" w:rsidR="0087531A" w:rsidRPr="00592227" w:rsidRDefault="0087531A" w:rsidP="00DC08C4">
            <w:pPr>
              <w:jc w:val="right"/>
              <w:rPr>
                <w:color w:val="4F81BD"/>
              </w:rPr>
            </w:pPr>
            <w:bookmarkStart w:id="0" w:name="_heading=h.gjdgxs" w:colFirst="0" w:colLast="0"/>
            <w:bookmarkEnd w:id="0"/>
          </w:p>
        </w:tc>
        <w:tc>
          <w:tcPr>
            <w:tcW w:w="8788" w:type="dxa"/>
            <w:tcBorders>
              <w:left w:val="single" w:sz="18" w:space="0" w:color="4BACC6"/>
            </w:tcBorders>
            <w:vAlign w:val="center"/>
          </w:tcPr>
          <w:p w14:paraId="508E79F3" w14:textId="77777777" w:rsidR="0087531A" w:rsidRPr="00592227" w:rsidRDefault="0087531A" w:rsidP="00DC08C4">
            <w:pPr>
              <w:pStyle w:val="Cm"/>
              <w:jc w:val="center"/>
              <w:rPr>
                <w:rFonts w:ascii="Times New Roman" w:eastAsia="Calibri" w:hAnsi="Times New Roman" w:cs="Times New Roman"/>
              </w:rPr>
            </w:pPr>
            <w:r w:rsidRPr="00592227">
              <w:rPr>
                <w:rFonts w:ascii="Times New Roman" w:eastAsia="Calibri" w:hAnsi="Times New Roman" w:cs="Times New Roman"/>
              </w:rPr>
              <w:t>A KRITIKUS energetikai infraSTRUKTÚRA (villamos energia, földgáz, távhő) SÉRÜLÉKENYSÉGI VIZSGÁLATÁNAK összegzése, fő eredményei</w:t>
            </w:r>
          </w:p>
          <w:p w14:paraId="0C9B621B" w14:textId="77777777" w:rsidR="0087531A" w:rsidRPr="00592227" w:rsidRDefault="0087531A" w:rsidP="00DC08C4">
            <w:pPr>
              <w:spacing w:after="240"/>
              <w:jc w:val="center"/>
              <w:rPr>
                <w:i/>
                <w:color w:val="404040"/>
                <w:sz w:val="28"/>
                <w:szCs w:val="28"/>
              </w:rPr>
            </w:pPr>
            <w:r w:rsidRPr="00592227">
              <w:rPr>
                <w:i/>
                <w:color w:val="404040"/>
                <w:sz w:val="28"/>
                <w:szCs w:val="28"/>
              </w:rPr>
              <w:t xml:space="preserve">Készült az </w:t>
            </w:r>
            <w:r w:rsidR="005C05AD" w:rsidRPr="00592227">
              <w:rPr>
                <w:i/>
                <w:color w:val="404040"/>
                <w:sz w:val="28"/>
                <w:szCs w:val="28"/>
              </w:rPr>
              <w:t xml:space="preserve">Energiaügyi </w:t>
            </w:r>
            <w:r w:rsidRPr="00592227">
              <w:rPr>
                <w:i/>
                <w:color w:val="404040"/>
                <w:sz w:val="28"/>
                <w:szCs w:val="28"/>
              </w:rPr>
              <w:t>Minisztérium támogatásával Z1000035 azonosítószámú</w:t>
            </w:r>
          </w:p>
          <w:p w14:paraId="40AF8685" w14:textId="77777777" w:rsidR="0087531A" w:rsidRPr="00592227" w:rsidRDefault="0087531A" w:rsidP="00DC08C4">
            <w:pPr>
              <w:spacing w:after="240"/>
              <w:jc w:val="center"/>
              <w:rPr>
                <w:i/>
                <w:color w:val="404040"/>
                <w:sz w:val="28"/>
                <w:szCs w:val="28"/>
              </w:rPr>
            </w:pPr>
            <w:r w:rsidRPr="00592227">
              <w:rPr>
                <w:i/>
                <w:color w:val="404040"/>
                <w:sz w:val="28"/>
                <w:szCs w:val="28"/>
              </w:rPr>
              <w:t xml:space="preserve"> </w:t>
            </w:r>
            <w:r w:rsidRPr="00592227">
              <w:rPr>
                <w:b/>
                <w:i/>
                <w:color w:val="404040"/>
                <w:sz w:val="28"/>
                <w:szCs w:val="28"/>
              </w:rPr>
              <w:t xml:space="preserve">„Kritikus energetikai infrastruktúra elemek </w:t>
            </w:r>
            <w:r w:rsidRPr="00592227">
              <w:rPr>
                <w:b/>
                <w:i/>
                <w:color w:val="404040"/>
                <w:sz w:val="28"/>
                <w:szCs w:val="28"/>
              </w:rPr>
              <w:br/>
              <w:t xml:space="preserve">(villamos energia, gáz, távhő rendszerek) éghajlati </w:t>
            </w:r>
            <w:r w:rsidRPr="00592227">
              <w:rPr>
                <w:b/>
                <w:i/>
                <w:color w:val="404040"/>
                <w:sz w:val="28"/>
                <w:szCs w:val="28"/>
              </w:rPr>
              <w:br/>
              <w:t>és földtani sérülékenységének értékelése”</w:t>
            </w:r>
          </w:p>
          <w:p w14:paraId="093148FC" w14:textId="77777777" w:rsidR="0087531A" w:rsidRPr="00592227" w:rsidRDefault="0087531A" w:rsidP="00DC08C4">
            <w:pPr>
              <w:spacing w:after="240"/>
              <w:jc w:val="center"/>
              <w:rPr>
                <w:i/>
                <w:color w:val="404040"/>
                <w:sz w:val="28"/>
                <w:szCs w:val="28"/>
              </w:rPr>
            </w:pPr>
            <w:r w:rsidRPr="00592227">
              <w:rPr>
                <w:i/>
                <w:color w:val="404040"/>
                <w:sz w:val="28"/>
                <w:szCs w:val="28"/>
              </w:rPr>
              <w:t>c. projekt keretében</w:t>
            </w:r>
          </w:p>
          <w:p w14:paraId="4FA12E51" w14:textId="77777777" w:rsidR="0087531A" w:rsidRPr="00592227" w:rsidRDefault="0087531A" w:rsidP="00DC08C4">
            <w:pPr>
              <w:spacing w:after="240"/>
              <w:jc w:val="center"/>
              <w:rPr>
                <w:b/>
                <w:color w:val="404040"/>
                <w:sz w:val="28"/>
                <w:szCs w:val="28"/>
                <w:u w:val="single"/>
              </w:rPr>
            </w:pPr>
            <w:r w:rsidRPr="00592227">
              <w:rPr>
                <w:b/>
                <w:color w:val="404040"/>
                <w:sz w:val="28"/>
                <w:szCs w:val="28"/>
                <w:u w:val="single"/>
              </w:rPr>
              <w:t>Munkaanyag</w:t>
            </w:r>
          </w:p>
        </w:tc>
      </w:tr>
    </w:tbl>
    <w:p w14:paraId="5DAB6C7B" w14:textId="77777777" w:rsidR="0087531A" w:rsidRPr="00592227" w:rsidRDefault="0087531A" w:rsidP="0087531A">
      <w:pPr>
        <w:spacing w:after="160"/>
        <w:rPr>
          <w:color w:val="003068"/>
        </w:rPr>
      </w:pPr>
    </w:p>
    <w:p w14:paraId="20D6121C" w14:textId="77777777" w:rsidR="0087531A" w:rsidRPr="00592227" w:rsidRDefault="0087531A" w:rsidP="00507AEB">
      <w:pPr>
        <w:spacing w:after="160"/>
        <w:ind w:firstLine="0"/>
        <w:jc w:val="center"/>
        <w:rPr>
          <w:color w:val="003068"/>
        </w:rPr>
      </w:pPr>
      <w:r w:rsidRPr="00592227">
        <w:rPr>
          <w:b/>
          <w:i/>
          <w:color w:val="404040"/>
          <w:sz w:val="28"/>
          <w:szCs w:val="28"/>
        </w:rPr>
        <w:t>2023.</w:t>
      </w:r>
    </w:p>
    <w:p w14:paraId="3EC03307" w14:textId="77777777" w:rsidR="0087531A" w:rsidRPr="00592227" w:rsidRDefault="0087531A" w:rsidP="00507AEB">
      <w:pPr>
        <w:spacing w:after="160"/>
        <w:ind w:firstLine="0"/>
        <w:jc w:val="center"/>
        <w:rPr>
          <w:color w:val="003068"/>
        </w:rPr>
      </w:pPr>
      <w:r w:rsidRPr="00592227">
        <w:rPr>
          <w:color w:val="003068"/>
        </w:rPr>
        <w:t>Készítette:</w:t>
      </w:r>
    </w:p>
    <w:p w14:paraId="00AF74BD" w14:textId="77777777" w:rsidR="0087531A" w:rsidRPr="00592227" w:rsidRDefault="00AC5F96" w:rsidP="00507AEB">
      <w:pPr>
        <w:spacing w:after="160"/>
        <w:ind w:firstLine="0"/>
        <w:jc w:val="center"/>
        <w:rPr>
          <w:b/>
          <w:color w:val="003068"/>
          <w:sz w:val="26"/>
          <w:szCs w:val="26"/>
        </w:rPr>
      </w:pPr>
      <w:r w:rsidRPr="00592227">
        <w:rPr>
          <w:b/>
          <w:color w:val="003068"/>
          <w:sz w:val="26"/>
          <w:szCs w:val="26"/>
        </w:rPr>
        <w:t>Energiastratégia Intézet</w:t>
      </w:r>
      <w:r w:rsidR="007010A2" w:rsidRPr="00592227">
        <w:rPr>
          <w:b/>
          <w:color w:val="003068"/>
          <w:sz w:val="26"/>
          <w:szCs w:val="26"/>
        </w:rPr>
        <w:t xml:space="preserve"> Nonprofit Kft.</w:t>
      </w:r>
    </w:p>
    <w:p w14:paraId="2EF35106" w14:textId="77777777" w:rsidR="0087531A" w:rsidRPr="00592227" w:rsidRDefault="0087531A" w:rsidP="00507AEB">
      <w:pPr>
        <w:spacing w:after="160"/>
        <w:ind w:firstLine="0"/>
        <w:jc w:val="center"/>
        <w:rPr>
          <w:b/>
          <w:color w:val="003068"/>
          <w:szCs w:val="24"/>
        </w:rPr>
      </w:pPr>
      <w:r w:rsidRPr="00592227">
        <w:rPr>
          <w:b/>
          <w:color w:val="003068"/>
          <w:szCs w:val="24"/>
        </w:rPr>
        <w:t xml:space="preserve">Közreműködők: dr. Ballabás Gábor (szerk.), </w:t>
      </w:r>
      <w:r w:rsidR="00C53AD7" w:rsidRPr="00592227">
        <w:rPr>
          <w:b/>
          <w:color w:val="003068"/>
          <w:szCs w:val="24"/>
        </w:rPr>
        <w:t xml:space="preserve">dr. Maigut Vera, dr. Marsi István, Szabó Péter, </w:t>
      </w:r>
      <w:r w:rsidR="00AC5F96" w:rsidRPr="00592227">
        <w:rPr>
          <w:b/>
          <w:color w:val="003068"/>
          <w:szCs w:val="24"/>
        </w:rPr>
        <w:t xml:space="preserve">Bálinger András, </w:t>
      </w:r>
      <w:proofErr w:type="spellStart"/>
      <w:r w:rsidRPr="00592227">
        <w:rPr>
          <w:b/>
          <w:color w:val="003068"/>
          <w:szCs w:val="24"/>
        </w:rPr>
        <w:t>Deczki</w:t>
      </w:r>
      <w:proofErr w:type="spellEnd"/>
      <w:r w:rsidRPr="00592227">
        <w:rPr>
          <w:b/>
          <w:color w:val="003068"/>
          <w:szCs w:val="24"/>
        </w:rPr>
        <w:t xml:space="preserve"> Zoltán, dr. Jáger Viktor, </w:t>
      </w:r>
      <w:r w:rsidR="00C90683" w:rsidRPr="00592227">
        <w:rPr>
          <w:b/>
          <w:color w:val="003068"/>
          <w:szCs w:val="24"/>
        </w:rPr>
        <w:t xml:space="preserve">Selmeczi János Pál, </w:t>
      </w:r>
      <w:r w:rsidR="00C53AD7" w:rsidRPr="00592227">
        <w:rPr>
          <w:b/>
          <w:color w:val="003068"/>
          <w:szCs w:val="24"/>
        </w:rPr>
        <w:t>Varga Erika,</w:t>
      </w:r>
      <w:r w:rsidR="00D94FD8" w:rsidRPr="00592227">
        <w:rPr>
          <w:b/>
          <w:color w:val="003068"/>
          <w:szCs w:val="24"/>
        </w:rPr>
        <w:t xml:space="preserve"> valamint</w:t>
      </w:r>
      <w:r w:rsidR="00C53AD7" w:rsidRPr="00592227">
        <w:rPr>
          <w:b/>
          <w:color w:val="003068"/>
          <w:szCs w:val="24"/>
        </w:rPr>
        <w:t xml:space="preserve"> a</w:t>
      </w:r>
      <w:r w:rsidR="00681363" w:rsidRPr="00592227">
        <w:rPr>
          <w:b/>
          <w:color w:val="003068"/>
          <w:szCs w:val="24"/>
        </w:rPr>
        <w:t xml:space="preserve"> </w:t>
      </w:r>
      <w:proofErr w:type="spellStart"/>
      <w:r w:rsidR="00681363" w:rsidRPr="00592227">
        <w:rPr>
          <w:b/>
          <w:color w:val="003068"/>
          <w:szCs w:val="24"/>
        </w:rPr>
        <w:t>DATelite</w:t>
      </w:r>
      <w:proofErr w:type="spellEnd"/>
      <w:r w:rsidR="00D94FD8" w:rsidRPr="00592227">
        <w:rPr>
          <w:b/>
          <w:color w:val="003068"/>
          <w:szCs w:val="24"/>
        </w:rPr>
        <w:t xml:space="preserve"> Kft.</w:t>
      </w:r>
    </w:p>
    <w:p w14:paraId="02EB378F" w14:textId="77777777" w:rsidR="0087531A" w:rsidRPr="00592227" w:rsidRDefault="0087531A" w:rsidP="00507AEB">
      <w:pPr>
        <w:spacing w:after="160"/>
        <w:ind w:firstLine="0"/>
        <w:jc w:val="center"/>
        <w:rPr>
          <w:b/>
          <w:color w:val="003068"/>
          <w:sz w:val="26"/>
          <w:szCs w:val="26"/>
        </w:rPr>
      </w:pPr>
    </w:p>
    <w:p w14:paraId="0E1C7933" w14:textId="77777777" w:rsidR="0087531A" w:rsidRPr="00592227" w:rsidRDefault="0087531A" w:rsidP="00507AEB">
      <w:pPr>
        <w:spacing w:after="160"/>
        <w:ind w:firstLine="0"/>
        <w:jc w:val="center"/>
        <w:rPr>
          <w:color w:val="003068"/>
          <w:szCs w:val="24"/>
        </w:rPr>
      </w:pPr>
      <w:r w:rsidRPr="00592227">
        <w:rPr>
          <w:color w:val="003068"/>
          <w:szCs w:val="24"/>
        </w:rPr>
        <w:t>Közreműködő szakmai partnerek:</w:t>
      </w:r>
    </w:p>
    <w:p w14:paraId="2C66DC9F" w14:textId="77777777" w:rsidR="0087531A" w:rsidRPr="00592227" w:rsidRDefault="0087531A" w:rsidP="00507AEB">
      <w:pPr>
        <w:spacing w:after="160"/>
        <w:ind w:firstLine="0"/>
        <w:jc w:val="center"/>
        <w:rPr>
          <w:b/>
          <w:color w:val="000000"/>
          <w:szCs w:val="24"/>
        </w:rPr>
      </w:pPr>
      <w:r w:rsidRPr="00592227">
        <w:rPr>
          <w:b/>
          <w:color w:val="000000"/>
          <w:szCs w:val="24"/>
        </w:rPr>
        <w:t>FGSZ Földgázszállító Zrt. (FGSZ Zrt.)</w:t>
      </w:r>
    </w:p>
    <w:p w14:paraId="5A6EC2E8" w14:textId="77777777" w:rsidR="0087531A" w:rsidRPr="00592227" w:rsidRDefault="0087531A" w:rsidP="00507AEB">
      <w:pPr>
        <w:spacing w:after="160"/>
        <w:ind w:firstLine="0"/>
        <w:jc w:val="center"/>
        <w:rPr>
          <w:b/>
          <w:color w:val="000000"/>
          <w:szCs w:val="24"/>
        </w:rPr>
      </w:pPr>
      <w:r w:rsidRPr="00592227">
        <w:rPr>
          <w:b/>
          <w:color w:val="000000"/>
          <w:szCs w:val="24"/>
        </w:rPr>
        <w:t>Magyar Energetikai és Közműszabályozási Hivatal (MEKH)</w:t>
      </w:r>
    </w:p>
    <w:p w14:paraId="7CE0D873" w14:textId="77777777" w:rsidR="0087531A" w:rsidRPr="00592227" w:rsidRDefault="0087531A" w:rsidP="00507AEB">
      <w:pPr>
        <w:spacing w:after="160"/>
        <w:ind w:firstLine="0"/>
        <w:jc w:val="center"/>
        <w:rPr>
          <w:b/>
          <w:color w:val="000000"/>
          <w:szCs w:val="24"/>
        </w:rPr>
      </w:pPr>
      <w:r w:rsidRPr="00592227">
        <w:rPr>
          <w:b/>
          <w:color w:val="000000"/>
          <w:szCs w:val="24"/>
        </w:rPr>
        <w:t>Magyar Távhőszolgáltatók Szakmai Szövetsége (</w:t>
      </w:r>
      <w:proofErr w:type="spellStart"/>
      <w:r w:rsidRPr="00592227">
        <w:rPr>
          <w:b/>
          <w:color w:val="000000"/>
          <w:szCs w:val="24"/>
        </w:rPr>
        <w:t>MaTáSzSz</w:t>
      </w:r>
      <w:proofErr w:type="spellEnd"/>
      <w:r w:rsidRPr="00592227">
        <w:rPr>
          <w:b/>
          <w:color w:val="000000"/>
          <w:szCs w:val="24"/>
        </w:rPr>
        <w:t>)</w:t>
      </w:r>
    </w:p>
    <w:p w14:paraId="04A3A4DB" w14:textId="77777777" w:rsidR="0087531A" w:rsidRPr="00592227" w:rsidRDefault="0087531A" w:rsidP="00507AEB">
      <w:pPr>
        <w:spacing w:after="160"/>
        <w:ind w:firstLine="0"/>
        <w:jc w:val="center"/>
        <w:rPr>
          <w:b/>
          <w:color w:val="000000"/>
          <w:szCs w:val="24"/>
        </w:rPr>
      </w:pPr>
      <w:r w:rsidRPr="00592227">
        <w:rPr>
          <w:b/>
          <w:color w:val="000000"/>
          <w:szCs w:val="24"/>
          <w:highlight w:val="white"/>
        </w:rPr>
        <w:t>Magyar Villamosenergia-ipari Átviteli Rendszerirányító Zrt. (MAVIR Zrt.)</w:t>
      </w:r>
    </w:p>
    <w:p w14:paraId="545C78CC" w14:textId="77777777" w:rsidR="0087531A" w:rsidRPr="00592227" w:rsidRDefault="0087531A" w:rsidP="00507AEB">
      <w:pPr>
        <w:spacing w:after="160"/>
        <w:ind w:firstLine="0"/>
        <w:jc w:val="center"/>
        <w:rPr>
          <w:b/>
          <w:color w:val="000000"/>
          <w:szCs w:val="24"/>
        </w:rPr>
        <w:sectPr w:rsidR="0087531A" w:rsidRPr="00592227">
          <w:footerReference w:type="default" r:id="rId11"/>
          <w:pgSz w:w="11906" w:h="16838"/>
          <w:pgMar w:top="1417" w:right="1417" w:bottom="1417" w:left="1417" w:header="708" w:footer="708" w:gutter="0"/>
          <w:pgNumType w:start="1"/>
          <w:cols w:space="708"/>
        </w:sectPr>
      </w:pPr>
      <w:r w:rsidRPr="00592227">
        <w:rPr>
          <w:b/>
          <w:color w:val="000000"/>
          <w:szCs w:val="24"/>
        </w:rPr>
        <w:t>Magya</w:t>
      </w:r>
      <w:r w:rsidR="00AC5F96" w:rsidRPr="00592227">
        <w:rPr>
          <w:b/>
          <w:color w:val="000000"/>
          <w:szCs w:val="24"/>
        </w:rPr>
        <w:t>r Villamos Művek Zrt. (MVM Zrt.</w:t>
      </w:r>
      <w:r w:rsidR="005C05AD" w:rsidRPr="00592227">
        <w:rPr>
          <w:b/>
          <w:color w:val="000000"/>
          <w:szCs w:val="24"/>
        </w:rPr>
        <w:t>)</w:t>
      </w:r>
    </w:p>
    <w:sdt>
      <w:sdtPr>
        <w:rPr>
          <w:rFonts w:eastAsiaTheme="minorHAnsi"/>
          <w:kern w:val="2"/>
          <w:sz w:val="24"/>
          <w:szCs w:val="20"/>
          <w:lang w:eastAsia="en-US"/>
          <w14:ligatures w14:val="standardContextual"/>
        </w:rPr>
        <w:id w:val="791564474"/>
        <w:docPartObj>
          <w:docPartGallery w:val="Table of Contents"/>
          <w:docPartUnique/>
        </w:docPartObj>
      </w:sdtPr>
      <w:sdtEndPr/>
      <w:sdtContent>
        <w:p w14:paraId="4DEB4F73" w14:textId="77777777" w:rsidR="0019435F" w:rsidRPr="00592227" w:rsidRDefault="0019435F" w:rsidP="00507AEB">
          <w:pPr>
            <w:pStyle w:val="Tartalomjegyzkcmsora"/>
            <w:ind w:left="0"/>
          </w:pPr>
          <w:r w:rsidRPr="00592227">
            <w:t>Tartalomjegyzék</w:t>
          </w:r>
        </w:p>
        <w:p w14:paraId="27EDBAE1" w14:textId="740F233F" w:rsidR="00507AEB" w:rsidRDefault="0019435F" w:rsidP="00507AEB">
          <w:pPr>
            <w:pStyle w:val="TJ1"/>
            <w:jc w:val="left"/>
            <w:rPr>
              <w:rFonts w:asciiTheme="minorHAnsi" w:eastAsiaTheme="minorEastAsia" w:hAnsiTheme="minorHAnsi" w:cstheme="minorBidi"/>
              <w:noProof/>
              <w:sz w:val="22"/>
              <w:szCs w:val="22"/>
              <w:lang w:eastAsia="hu-HU"/>
            </w:rPr>
          </w:pPr>
          <w:r w:rsidRPr="00592227">
            <w:fldChar w:fldCharType="begin"/>
          </w:r>
          <w:r w:rsidRPr="00592227">
            <w:instrText xml:space="preserve"> TOC \o "1-3" \h \z \u </w:instrText>
          </w:r>
          <w:r w:rsidRPr="00592227">
            <w:fldChar w:fldCharType="separate"/>
          </w:r>
          <w:hyperlink w:anchor="_Toc147484184" w:history="1">
            <w:r w:rsidR="00507AEB" w:rsidRPr="00360483">
              <w:rPr>
                <w:rStyle w:val="Hiperhivatkozs"/>
                <w:noProof/>
              </w:rPr>
              <w:t>1. Bevezetés</w:t>
            </w:r>
            <w:r w:rsidR="00507AEB">
              <w:rPr>
                <w:noProof/>
                <w:webHidden/>
              </w:rPr>
              <w:tab/>
            </w:r>
            <w:r w:rsidR="00507AEB">
              <w:rPr>
                <w:noProof/>
                <w:webHidden/>
              </w:rPr>
              <w:fldChar w:fldCharType="begin"/>
            </w:r>
            <w:r w:rsidR="00507AEB">
              <w:rPr>
                <w:noProof/>
                <w:webHidden/>
              </w:rPr>
              <w:instrText xml:space="preserve"> PAGEREF _Toc147484184 \h </w:instrText>
            </w:r>
            <w:r w:rsidR="00507AEB">
              <w:rPr>
                <w:noProof/>
                <w:webHidden/>
              </w:rPr>
            </w:r>
            <w:r w:rsidR="00507AEB">
              <w:rPr>
                <w:noProof/>
                <w:webHidden/>
              </w:rPr>
              <w:fldChar w:fldCharType="separate"/>
            </w:r>
            <w:r w:rsidR="00507AEB">
              <w:rPr>
                <w:noProof/>
                <w:webHidden/>
              </w:rPr>
              <w:t>4</w:t>
            </w:r>
            <w:r w:rsidR="00507AEB">
              <w:rPr>
                <w:noProof/>
                <w:webHidden/>
              </w:rPr>
              <w:fldChar w:fldCharType="end"/>
            </w:r>
          </w:hyperlink>
        </w:p>
        <w:p w14:paraId="662704DB" w14:textId="17620D58"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185" w:history="1">
            <w:r w:rsidRPr="00360483">
              <w:rPr>
                <w:rStyle w:val="Hiperhivatkozs"/>
                <w:noProof/>
              </w:rPr>
              <w:t>1.1 A feladat indokoltsága</w:t>
            </w:r>
            <w:r>
              <w:rPr>
                <w:noProof/>
                <w:webHidden/>
              </w:rPr>
              <w:tab/>
            </w:r>
            <w:r>
              <w:rPr>
                <w:noProof/>
                <w:webHidden/>
              </w:rPr>
              <w:fldChar w:fldCharType="begin"/>
            </w:r>
            <w:r>
              <w:rPr>
                <w:noProof/>
                <w:webHidden/>
              </w:rPr>
              <w:instrText xml:space="preserve"> PAGEREF _Toc147484185 \h </w:instrText>
            </w:r>
            <w:r>
              <w:rPr>
                <w:noProof/>
                <w:webHidden/>
              </w:rPr>
            </w:r>
            <w:r>
              <w:rPr>
                <w:noProof/>
                <w:webHidden/>
              </w:rPr>
              <w:fldChar w:fldCharType="separate"/>
            </w:r>
            <w:r>
              <w:rPr>
                <w:noProof/>
                <w:webHidden/>
              </w:rPr>
              <w:t>4</w:t>
            </w:r>
            <w:r>
              <w:rPr>
                <w:noProof/>
                <w:webHidden/>
              </w:rPr>
              <w:fldChar w:fldCharType="end"/>
            </w:r>
          </w:hyperlink>
        </w:p>
        <w:p w14:paraId="01F22B77" w14:textId="250EF9BC"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186" w:history="1">
            <w:r w:rsidRPr="00360483">
              <w:rPr>
                <w:rStyle w:val="Hiperhivatkozs"/>
                <w:noProof/>
              </w:rPr>
              <w:t>1.2 Értékelő tanulmány célja, elérendő eredmények</w:t>
            </w:r>
            <w:r>
              <w:rPr>
                <w:noProof/>
                <w:webHidden/>
              </w:rPr>
              <w:tab/>
            </w:r>
            <w:r>
              <w:rPr>
                <w:noProof/>
                <w:webHidden/>
              </w:rPr>
              <w:fldChar w:fldCharType="begin"/>
            </w:r>
            <w:r>
              <w:rPr>
                <w:noProof/>
                <w:webHidden/>
              </w:rPr>
              <w:instrText xml:space="preserve"> PAGEREF _Toc147484186 \h </w:instrText>
            </w:r>
            <w:r>
              <w:rPr>
                <w:noProof/>
                <w:webHidden/>
              </w:rPr>
            </w:r>
            <w:r>
              <w:rPr>
                <w:noProof/>
                <w:webHidden/>
              </w:rPr>
              <w:fldChar w:fldCharType="separate"/>
            </w:r>
            <w:r>
              <w:rPr>
                <w:noProof/>
                <w:webHidden/>
              </w:rPr>
              <w:t>4</w:t>
            </w:r>
            <w:r>
              <w:rPr>
                <w:noProof/>
                <w:webHidden/>
              </w:rPr>
              <w:fldChar w:fldCharType="end"/>
            </w:r>
          </w:hyperlink>
        </w:p>
        <w:p w14:paraId="427A28E8" w14:textId="1A818802" w:rsidR="00507AEB" w:rsidRDefault="00507AEB" w:rsidP="00507AEB">
          <w:pPr>
            <w:pStyle w:val="TJ1"/>
            <w:jc w:val="left"/>
            <w:rPr>
              <w:rFonts w:asciiTheme="minorHAnsi" w:eastAsiaTheme="minorEastAsia" w:hAnsiTheme="minorHAnsi" w:cstheme="minorBidi"/>
              <w:noProof/>
              <w:sz w:val="22"/>
              <w:szCs w:val="22"/>
              <w:lang w:eastAsia="hu-HU"/>
            </w:rPr>
          </w:pPr>
          <w:hyperlink w:anchor="_Toc147484187" w:history="1">
            <w:r w:rsidRPr="00360483">
              <w:rPr>
                <w:rStyle w:val="Hiperhivatkozs"/>
                <w:noProof/>
              </w:rPr>
              <w:t>2. Összefoglalás</w:t>
            </w:r>
            <w:r>
              <w:rPr>
                <w:noProof/>
                <w:webHidden/>
              </w:rPr>
              <w:tab/>
            </w:r>
            <w:r>
              <w:rPr>
                <w:noProof/>
                <w:webHidden/>
              </w:rPr>
              <w:fldChar w:fldCharType="begin"/>
            </w:r>
            <w:r>
              <w:rPr>
                <w:noProof/>
                <w:webHidden/>
              </w:rPr>
              <w:instrText xml:space="preserve"> PAGEREF _Toc147484187 \h </w:instrText>
            </w:r>
            <w:r>
              <w:rPr>
                <w:noProof/>
                <w:webHidden/>
              </w:rPr>
            </w:r>
            <w:r>
              <w:rPr>
                <w:noProof/>
                <w:webHidden/>
              </w:rPr>
              <w:fldChar w:fldCharType="separate"/>
            </w:r>
            <w:r>
              <w:rPr>
                <w:noProof/>
                <w:webHidden/>
              </w:rPr>
              <w:t>5</w:t>
            </w:r>
            <w:r>
              <w:rPr>
                <w:noProof/>
                <w:webHidden/>
              </w:rPr>
              <w:fldChar w:fldCharType="end"/>
            </w:r>
          </w:hyperlink>
        </w:p>
        <w:p w14:paraId="63801A5B" w14:textId="6415A12D" w:rsidR="00507AEB" w:rsidRDefault="00507AEB" w:rsidP="00507AEB">
          <w:pPr>
            <w:pStyle w:val="TJ1"/>
            <w:jc w:val="left"/>
            <w:rPr>
              <w:rFonts w:asciiTheme="minorHAnsi" w:eastAsiaTheme="minorEastAsia" w:hAnsiTheme="minorHAnsi" w:cstheme="minorBidi"/>
              <w:noProof/>
              <w:sz w:val="22"/>
              <w:szCs w:val="22"/>
              <w:lang w:eastAsia="hu-HU"/>
            </w:rPr>
          </w:pPr>
          <w:hyperlink w:anchor="_Toc147484188" w:history="1">
            <w:r w:rsidRPr="00360483">
              <w:rPr>
                <w:rStyle w:val="Hiperhivatkozs"/>
                <w:noProof/>
              </w:rPr>
              <w:t>3. A módszertani tanulmány és fő eredményei</w:t>
            </w:r>
            <w:r>
              <w:rPr>
                <w:noProof/>
                <w:webHidden/>
              </w:rPr>
              <w:tab/>
            </w:r>
            <w:r>
              <w:rPr>
                <w:noProof/>
                <w:webHidden/>
              </w:rPr>
              <w:fldChar w:fldCharType="begin"/>
            </w:r>
            <w:r>
              <w:rPr>
                <w:noProof/>
                <w:webHidden/>
              </w:rPr>
              <w:instrText xml:space="preserve"> PAGEREF _Toc147484188 \h </w:instrText>
            </w:r>
            <w:r>
              <w:rPr>
                <w:noProof/>
                <w:webHidden/>
              </w:rPr>
            </w:r>
            <w:r>
              <w:rPr>
                <w:noProof/>
                <w:webHidden/>
              </w:rPr>
              <w:fldChar w:fldCharType="separate"/>
            </w:r>
            <w:r>
              <w:rPr>
                <w:noProof/>
                <w:webHidden/>
              </w:rPr>
              <w:t>7</w:t>
            </w:r>
            <w:r>
              <w:rPr>
                <w:noProof/>
                <w:webHidden/>
              </w:rPr>
              <w:fldChar w:fldCharType="end"/>
            </w:r>
          </w:hyperlink>
        </w:p>
        <w:p w14:paraId="4480103E" w14:textId="043B76C0" w:rsidR="00507AEB" w:rsidRDefault="00507AEB" w:rsidP="00507AEB">
          <w:pPr>
            <w:pStyle w:val="TJ1"/>
            <w:jc w:val="left"/>
            <w:rPr>
              <w:rFonts w:asciiTheme="minorHAnsi" w:eastAsiaTheme="minorEastAsia" w:hAnsiTheme="minorHAnsi" w:cstheme="minorBidi"/>
              <w:noProof/>
              <w:sz w:val="22"/>
              <w:szCs w:val="22"/>
              <w:lang w:eastAsia="hu-HU"/>
            </w:rPr>
          </w:pPr>
          <w:hyperlink w:anchor="_Toc147484189" w:history="1">
            <w:r w:rsidRPr="00360483">
              <w:rPr>
                <w:rStyle w:val="Hiperhivatkozs"/>
                <w:noProof/>
              </w:rPr>
              <w:t>4. Energetikai létesítményeket érintő földtani mozgásesemények érzékelése és értékelése űrgeodéziai (InSAR, műholdradar interferometria) technológiával – a vizsgálat fő eredményei</w:t>
            </w:r>
            <w:r>
              <w:rPr>
                <w:noProof/>
                <w:webHidden/>
              </w:rPr>
              <w:tab/>
            </w:r>
            <w:r>
              <w:rPr>
                <w:noProof/>
                <w:webHidden/>
              </w:rPr>
              <w:fldChar w:fldCharType="begin"/>
            </w:r>
            <w:r>
              <w:rPr>
                <w:noProof/>
                <w:webHidden/>
              </w:rPr>
              <w:instrText xml:space="preserve"> PAGEREF _Toc147484189 \h </w:instrText>
            </w:r>
            <w:r>
              <w:rPr>
                <w:noProof/>
                <w:webHidden/>
              </w:rPr>
            </w:r>
            <w:r>
              <w:rPr>
                <w:noProof/>
                <w:webHidden/>
              </w:rPr>
              <w:fldChar w:fldCharType="separate"/>
            </w:r>
            <w:r>
              <w:rPr>
                <w:noProof/>
                <w:webHidden/>
              </w:rPr>
              <w:t>8</w:t>
            </w:r>
            <w:r>
              <w:rPr>
                <w:noProof/>
                <w:webHidden/>
              </w:rPr>
              <w:fldChar w:fldCharType="end"/>
            </w:r>
          </w:hyperlink>
        </w:p>
        <w:p w14:paraId="7FFBE5AC" w14:textId="569E9A61" w:rsidR="00507AEB" w:rsidRDefault="00507AEB" w:rsidP="00507AEB">
          <w:pPr>
            <w:pStyle w:val="TJ1"/>
            <w:jc w:val="left"/>
            <w:rPr>
              <w:rFonts w:asciiTheme="minorHAnsi" w:eastAsiaTheme="minorEastAsia" w:hAnsiTheme="minorHAnsi" w:cstheme="minorBidi"/>
              <w:noProof/>
              <w:sz w:val="22"/>
              <w:szCs w:val="22"/>
              <w:lang w:eastAsia="hu-HU"/>
            </w:rPr>
          </w:pPr>
          <w:hyperlink w:anchor="_Toc147484190" w:history="1">
            <w:r w:rsidRPr="00360483">
              <w:rPr>
                <w:rStyle w:val="Hiperhivatkozs"/>
                <w:noProof/>
              </w:rPr>
              <w:t>5. Az elvégzett éghajlati és földtani sérülékenység-vizsgálatok logikai alapja a CIVAS modell és összetevőinek bemutatása</w:t>
            </w:r>
            <w:r>
              <w:rPr>
                <w:noProof/>
                <w:webHidden/>
              </w:rPr>
              <w:tab/>
            </w:r>
            <w:r>
              <w:rPr>
                <w:noProof/>
                <w:webHidden/>
              </w:rPr>
              <w:fldChar w:fldCharType="begin"/>
            </w:r>
            <w:r>
              <w:rPr>
                <w:noProof/>
                <w:webHidden/>
              </w:rPr>
              <w:instrText xml:space="preserve"> PAGEREF _Toc147484190 \h </w:instrText>
            </w:r>
            <w:r>
              <w:rPr>
                <w:noProof/>
                <w:webHidden/>
              </w:rPr>
            </w:r>
            <w:r>
              <w:rPr>
                <w:noProof/>
                <w:webHidden/>
              </w:rPr>
              <w:fldChar w:fldCharType="separate"/>
            </w:r>
            <w:r>
              <w:rPr>
                <w:noProof/>
                <w:webHidden/>
              </w:rPr>
              <w:t>11</w:t>
            </w:r>
            <w:r>
              <w:rPr>
                <w:noProof/>
                <w:webHidden/>
              </w:rPr>
              <w:fldChar w:fldCharType="end"/>
            </w:r>
          </w:hyperlink>
        </w:p>
        <w:p w14:paraId="7DA6FECD" w14:textId="6708E23F" w:rsidR="00507AEB" w:rsidRDefault="00507AEB" w:rsidP="00507AEB">
          <w:pPr>
            <w:pStyle w:val="TJ1"/>
            <w:jc w:val="left"/>
            <w:rPr>
              <w:rFonts w:asciiTheme="minorHAnsi" w:eastAsiaTheme="minorEastAsia" w:hAnsiTheme="minorHAnsi" w:cstheme="minorBidi"/>
              <w:noProof/>
              <w:sz w:val="22"/>
              <w:szCs w:val="22"/>
              <w:lang w:eastAsia="hu-HU"/>
            </w:rPr>
          </w:pPr>
          <w:hyperlink w:anchor="_Toc147484191" w:history="1">
            <w:r w:rsidRPr="00360483">
              <w:rPr>
                <w:rStyle w:val="Hiperhivatkozs"/>
                <w:noProof/>
              </w:rPr>
              <w:t>6. Az éghajlati és földtani vizsgálatok fő munkafázisai és eredményei</w:t>
            </w:r>
            <w:r>
              <w:rPr>
                <w:noProof/>
                <w:webHidden/>
              </w:rPr>
              <w:tab/>
            </w:r>
            <w:r>
              <w:rPr>
                <w:noProof/>
                <w:webHidden/>
              </w:rPr>
              <w:fldChar w:fldCharType="begin"/>
            </w:r>
            <w:r>
              <w:rPr>
                <w:noProof/>
                <w:webHidden/>
              </w:rPr>
              <w:instrText xml:space="preserve"> PAGEREF _Toc147484191 \h </w:instrText>
            </w:r>
            <w:r>
              <w:rPr>
                <w:noProof/>
                <w:webHidden/>
              </w:rPr>
            </w:r>
            <w:r>
              <w:rPr>
                <w:noProof/>
                <w:webHidden/>
              </w:rPr>
              <w:fldChar w:fldCharType="separate"/>
            </w:r>
            <w:r>
              <w:rPr>
                <w:noProof/>
                <w:webHidden/>
              </w:rPr>
              <w:t>13</w:t>
            </w:r>
            <w:r>
              <w:rPr>
                <w:noProof/>
                <w:webHidden/>
              </w:rPr>
              <w:fldChar w:fldCharType="end"/>
            </w:r>
          </w:hyperlink>
        </w:p>
        <w:p w14:paraId="0A8A007A" w14:textId="1250773B"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192" w:history="1">
            <w:r w:rsidRPr="00360483">
              <w:rPr>
                <w:rStyle w:val="Hiperhivatkozs"/>
                <w:noProof/>
              </w:rPr>
              <w:t>6.1. A jövőben várható klimatológiai változásokkal kapcsolatos kitettség vizsgálata</w:t>
            </w:r>
            <w:r>
              <w:rPr>
                <w:noProof/>
                <w:webHidden/>
              </w:rPr>
              <w:tab/>
            </w:r>
            <w:r>
              <w:rPr>
                <w:noProof/>
                <w:webHidden/>
              </w:rPr>
              <w:fldChar w:fldCharType="begin"/>
            </w:r>
            <w:r>
              <w:rPr>
                <w:noProof/>
                <w:webHidden/>
              </w:rPr>
              <w:instrText xml:space="preserve"> PAGEREF _Toc147484192 \h </w:instrText>
            </w:r>
            <w:r>
              <w:rPr>
                <w:noProof/>
                <w:webHidden/>
              </w:rPr>
            </w:r>
            <w:r>
              <w:rPr>
                <w:noProof/>
                <w:webHidden/>
              </w:rPr>
              <w:fldChar w:fldCharType="separate"/>
            </w:r>
            <w:r>
              <w:rPr>
                <w:noProof/>
                <w:webHidden/>
              </w:rPr>
              <w:t>13</w:t>
            </w:r>
            <w:r>
              <w:rPr>
                <w:noProof/>
                <w:webHidden/>
              </w:rPr>
              <w:fldChar w:fldCharType="end"/>
            </w:r>
          </w:hyperlink>
        </w:p>
        <w:p w14:paraId="6B41017D" w14:textId="3A8F6456"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193" w:history="1">
            <w:r w:rsidRPr="00360483">
              <w:rPr>
                <w:rStyle w:val="Hiperhivatkozs"/>
                <w:noProof/>
              </w:rPr>
              <w:t>6.2. A földtani veszélyforrásokkal kapcsolatos kitettség vizsgálata</w:t>
            </w:r>
            <w:r>
              <w:rPr>
                <w:noProof/>
                <w:webHidden/>
              </w:rPr>
              <w:tab/>
            </w:r>
            <w:r>
              <w:rPr>
                <w:noProof/>
                <w:webHidden/>
              </w:rPr>
              <w:fldChar w:fldCharType="begin"/>
            </w:r>
            <w:r>
              <w:rPr>
                <w:noProof/>
                <w:webHidden/>
              </w:rPr>
              <w:instrText xml:space="preserve"> PAGEREF _Toc147484193 \h </w:instrText>
            </w:r>
            <w:r>
              <w:rPr>
                <w:noProof/>
                <w:webHidden/>
              </w:rPr>
            </w:r>
            <w:r>
              <w:rPr>
                <w:noProof/>
                <w:webHidden/>
              </w:rPr>
              <w:fldChar w:fldCharType="separate"/>
            </w:r>
            <w:r>
              <w:rPr>
                <w:noProof/>
                <w:webHidden/>
              </w:rPr>
              <w:t>17</w:t>
            </w:r>
            <w:r>
              <w:rPr>
                <w:noProof/>
                <w:webHidden/>
              </w:rPr>
              <w:fldChar w:fldCharType="end"/>
            </w:r>
          </w:hyperlink>
        </w:p>
        <w:p w14:paraId="37E308F4" w14:textId="052BBAE4" w:rsidR="00507AEB" w:rsidRDefault="00507AEB" w:rsidP="00507AEB">
          <w:pPr>
            <w:pStyle w:val="TJ1"/>
            <w:jc w:val="left"/>
            <w:rPr>
              <w:rFonts w:asciiTheme="minorHAnsi" w:eastAsiaTheme="minorEastAsia" w:hAnsiTheme="minorHAnsi" w:cstheme="minorBidi"/>
              <w:noProof/>
              <w:sz w:val="22"/>
              <w:szCs w:val="22"/>
              <w:lang w:eastAsia="hu-HU"/>
            </w:rPr>
          </w:pPr>
          <w:hyperlink w:anchor="_Toc147484194" w:history="1">
            <w:r w:rsidRPr="00360483">
              <w:rPr>
                <w:rStyle w:val="Hiperhivatkozs"/>
                <w:noProof/>
              </w:rPr>
              <w:t>7. A nagynyomású földgázvezeték-rendszer kiválasztott felszíni létesítményeinek várható éghajlati és földtani sérülékenysége</w:t>
            </w:r>
            <w:r>
              <w:rPr>
                <w:noProof/>
                <w:webHidden/>
              </w:rPr>
              <w:tab/>
            </w:r>
            <w:r>
              <w:rPr>
                <w:noProof/>
                <w:webHidden/>
              </w:rPr>
              <w:fldChar w:fldCharType="begin"/>
            </w:r>
            <w:r>
              <w:rPr>
                <w:noProof/>
                <w:webHidden/>
              </w:rPr>
              <w:instrText xml:space="preserve"> PAGEREF _Toc147484194 \h </w:instrText>
            </w:r>
            <w:r>
              <w:rPr>
                <w:noProof/>
                <w:webHidden/>
              </w:rPr>
            </w:r>
            <w:r>
              <w:rPr>
                <w:noProof/>
                <w:webHidden/>
              </w:rPr>
              <w:fldChar w:fldCharType="separate"/>
            </w:r>
            <w:r>
              <w:rPr>
                <w:noProof/>
                <w:webHidden/>
              </w:rPr>
              <w:t>20</w:t>
            </w:r>
            <w:r>
              <w:rPr>
                <w:noProof/>
                <w:webHidden/>
              </w:rPr>
              <w:fldChar w:fldCharType="end"/>
            </w:r>
          </w:hyperlink>
        </w:p>
        <w:p w14:paraId="1BDB4BE3" w14:textId="38D914CF"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195" w:history="1">
            <w:r w:rsidRPr="00360483">
              <w:rPr>
                <w:rStyle w:val="Hiperhivatkozs"/>
                <w:noProof/>
              </w:rPr>
              <w:t>7.1. Az indikátorok kialakítása és a hatáslánc</w:t>
            </w:r>
            <w:r>
              <w:rPr>
                <w:noProof/>
                <w:webHidden/>
              </w:rPr>
              <w:tab/>
            </w:r>
            <w:r>
              <w:rPr>
                <w:noProof/>
                <w:webHidden/>
              </w:rPr>
              <w:fldChar w:fldCharType="begin"/>
            </w:r>
            <w:r>
              <w:rPr>
                <w:noProof/>
                <w:webHidden/>
              </w:rPr>
              <w:instrText xml:space="preserve"> PAGEREF _Toc147484195 \h </w:instrText>
            </w:r>
            <w:r>
              <w:rPr>
                <w:noProof/>
                <w:webHidden/>
              </w:rPr>
            </w:r>
            <w:r>
              <w:rPr>
                <w:noProof/>
                <w:webHidden/>
              </w:rPr>
              <w:fldChar w:fldCharType="separate"/>
            </w:r>
            <w:r>
              <w:rPr>
                <w:noProof/>
                <w:webHidden/>
              </w:rPr>
              <w:t>20</w:t>
            </w:r>
            <w:r>
              <w:rPr>
                <w:noProof/>
                <w:webHidden/>
              </w:rPr>
              <w:fldChar w:fldCharType="end"/>
            </w:r>
          </w:hyperlink>
        </w:p>
        <w:p w14:paraId="46FB15BC" w14:textId="7F3A139D"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196" w:history="1">
            <w:r w:rsidRPr="00360483">
              <w:rPr>
                <w:rStyle w:val="Hiperhivatkozs"/>
                <w:noProof/>
              </w:rPr>
              <w:t>7.2 A nagynyomású földgázhálózat vizsgált felszíni létesítményeinek kitettségi jellemzői</w:t>
            </w:r>
            <w:r>
              <w:rPr>
                <w:noProof/>
                <w:webHidden/>
              </w:rPr>
              <w:tab/>
            </w:r>
            <w:r>
              <w:rPr>
                <w:noProof/>
                <w:webHidden/>
              </w:rPr>
              <w:fldChar w:fldCharType="begin"/>
            </w:r>
            <w:r>
              <w:rPr>
                <w:noProof/>
                <w:webHidden/>
              </w:rPr>
              <w:instrText xml:space="preserve"> PAGEREF _Toc147484196 \h </w:instrText>
            </w:r>
            <w:r>
              <w:rPr>
                <w:noProof/>
                <w:webHidden/>
              </w:rPr>
            </w:r>
            <w:r>
              <w:rPr>
                <w:noProof/>
                <w:webHidden/>
              </w:rPr>
              <w:fldChar w:fldCharType="separate"/>
            </w:r>
            <w:r>
              <w:rPr>
                <w:noProof/>
                <w:webHidden/>
              </w:rPr>
              <w:t>21</w:t>
            </w:r>
            <w:r>
              <w:rPr>
                <w:noProof/>
                <w:webHidden/>
              </w:rPr>
              <w:fldChar w:fldCharType="end"/>
            </w:r>
          </w:hyperlink>
        </w:p>
        <w:p w14:paraId="297DB812" w14:textId="6817BF81"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197" w:history="1">
            <w:r w:rsidRPr="00360483">
              <w:rPr>
                <w:rStyle w:val="Hiperhivatkozs"/>
                <w:noProof/>
              </w:rPr>
              <w:t>7.3 A nagynyomású földgázhálózat vizsgált felszíni létesítményeinek érzékenységi adottságai</w:t>
            </w:r>
            <w:r>
              <w:rPr>
                <w:noProof/>
                <w:webHidden/>
              </w:rPr>
              <w:tab/>
            </w:r>
            <w:r>
              <w:rPr>
                <w:noProof/>
                <w:webHidden/>
              </w:rPr>
              <w:fldChar w:fldCharType="begin"/>
            </w:r>
            <w:r>
              <w:rPr>
                <w:noProof/>
                <w:webHidden/>
              </w:rPr>
              <w:instrText xml:space="preserve"> PAGEREF _Toc147484197 \h </w:instrText>
            </w:r>
            <w:r>
              <w:rPr>
                <w:noProof/>
                <w:webHidden/>
              </w:rPr>
            </w:r>
            <w:r>
              <w:rPr>
                <w:noProof/>
                <w:webHidden/>
              </w:rPr>
              <w:fldChar w:fldCharType="separate"/>
            </w:r>
            <w:r>
              <w:rPr>
                <w:noProof/>
                <w:webHidden/>
              </w:rPr>
              <w:t>23</w:t>
            </w:r>
            <w:r>
              <w:rPr>
                <w:noProof/>
                <w:webHidden/>
              </w:rPr>
              <w:fldChar w:fldCharType="end"/>
            </w:r>
          </w:hyperlink>
        </w:p>
        <w:p w14:paraId="570B5E28" w14:textId="2534C5B8"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198" w:history="1">
            <w:r w:rsidRPr="00360483">
              <w:rPr>
                <w:rStyle w:val="Hiperhivatkozs"/>
                <w:noProof/>
              </w:rPr>
              <w:t>7.4. A nagynyomású földgázhálózat vizsgált felszíni létesítményeinek esetében várható komplex hatások</w:t>
            </w:r>
            <w:r>
              <w:rPr>
                <w:noProof/>
                <w:webHidden/>
              </w:rPr>
              <w:tab/>
            </w:r>
            <w:r>
              <w:rPr>
                <w:noProof/>
                <w:webHidden/>
              </w:rPr>
              <w:fldChar w:fldCharType="begin"/>
            </w:r>
            <w:r>
              <w:rPr>
                <w:noProof/>
                <w:webHidden/>
              </w:rPr>
              <w:instrText xml:space="preserve"> PAGEREF _Toc147484198 \h </w:instrText>
            </w:r>
            <w:r>
              <w:rPr>
                <w:noProof/>
                <w:webHidden/>
              </w:rPr>
            </w:r>
            <w:r>
              <w:rPr>
                <w:noProof/>
                <w:webHidden/>
              </w:rPr>
              <w:fldChar w:fldCharType="separate"/>
            </w:r>
            <w:r>
              <w:rPr>
                <w:noProof/>
                <w:webHidden/>
              </w:rPr>
              <w:t>24</w:t>
            </w:r>
            <w:r>
              <w:rPr>
                <w:noProof/>
                <w:webHidden/>
              </w:rPr>
              <w:fldChar w:fldCharType="end"/>
            </w:r>
          </w:hyperlink>
        </w:p>
        <w:p w14:paraId="6A2819A4" w14:textId="485D0939"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199" w:history="1">
            <w:r w:rsidRPr="00360483">
              <w:rPr>
                <w:rStyle w:val="Hiperhivatkozs"/>
                <w:noProof/>
              </w:rPr>
              <w:t>7.5 A nagynyomású földgázhálózat vizsgált felszíni létesítményeinek alkalmazkodóképességi adottságai</w:t>
            </w:r>
            <w:r>
              <w:rPr>
                <w:noProof/>
                <w:webHidden/>
              </w:rPr>
              <w:tab/>
            </w:r>
            <w:r>
              <w:rPr>
                <w:noProof/>
                <w:webHidden/>
              </w:rPr>
              <w:fldChar w:fldCharType="begin"/>
            </w:r>
            <w:r>
              <w:rPr>
                <w:noProof/>
                <w:webHidden/>
              </w:rPr>
              <w:instrText xml:space="preserve"> PAGEREF _Toc147484199 \h </w:instrText>
            </w:r>
            <w:r>
              <w:rPr>
                <w:noProof/>
                <w:webHidden/>
              </w:rPr>
            </w:r>
            <w:r>
              <w:rPr>
                <w:noProof/>
                <w:webHidden/>
              </w:rPr>
              <w:fldChar w:fldCharType="separate"/>
            </w:r>
            <w:r>
              <w:rPr>
                <w:noProof/>
                <w:webHidden/>
              </w:rPr>
              <w:t>25</w:t>
            </w:r>
            <w:r>
              <w:rPr>
                <w:noProof/>
                <w:webHidden/>
              </w:rPr>
              <w:fldChar w:fldCharType="end"/>
            </w:r>
          </w:hyperlink>
        </w:p>
        <w:p w14:paraId="1F6CA51C" w14:textId="737FD10A"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200" w:history="1">
            <w:r w:rsidRPr="00360483">
              <w:rPr>
                <w:rStyle w:val="Hiperhivatkozs"/>
                <w:noProof/>
              </w:rPr>
              <w:t>7.6 A földgázhálózat vizsgált felszíni létesítményeinek esetében várható komplex sérülékenység</w:t>
            </w:r>
            <w:r>
              <w:rPr>
                <w:noProof/>
                <w:webHidden/>
              </w:rPr>
              <w:tab/>
            </w:r>
            <w:r>
              <w:rPr>
                <w:noProof/>
                <w:webHidden/>
              </w:rPr>
              <w:fldChar w:fldCharType="begin"/>
            </w:r>
            <w:r>
              <w:rPr>
                <w:noProof/>
                <w:webHidden/>
              </w:rPr>
              <w:instrText xml:space="preserve"> PAGEREF _Toc147484200 \h </w:instrText>
            </w:r>
            <w:r>
              <w:rPr>
                <w:noProof/>
                <w:webHidden/>
              </w:rPr>
            </w:r>
            <w:r>
              <w:rPr>
                <w:noProof/>
                <w:webHidden/>
              </w:rPr>
              <w:fldChar w:fldCharType="separate"/>
            </w:r>
            <w:r>
              <w:rPr>
                <w:noProof/>
                <w:webHidden/>
              </w:rPr>
              <w:t>26</w:t>
            </w:r>
            <w:r>
              <w:rPr>
                <w:noProof/>
                <w:webHidden/>
              </w:rPr>
              <w:fldChar w:fldCharType="end"/>
            </w:r>
          </w:hyperlink>
        </w:p>
        <w:p w14:paraId="2606F8AB" w14:textId="3FA057E1" w:rsidR="00507AEB" w:rsidRDefault="00507AEB" w:rsidP="00507AEB">
          <w:pPr>
            <w:pStyle w:val="TJ1"/>
            <w:jc w:val="left"/>
            <w:rPr>
              <w:rFonts w:asciiTheme="minorHAnsi" w:eastAsiaTheme="minorEastAsia" w:hAnsiTheme="minorHAnsi" w:cstheme="minorBidi"/>
              <w:noProof/>
              <w:sz w:val="22"/>
              <w:szCs w:val="22"/>
              <w:lang w:eastAsia="hu-HU"/>
            </w:rPr>
          </w:pPr>
          <w:hyperlink w:anchor="_Toc147484201" w:history="1">
            <w:r w:rsidRPr="00360483">
              <w:rPr>
                <w:rStyle w:val="Hiperhivatkozs"/>
                <w:noProof/>
              </w:rPr>
              <w:t>8. A nagynyomású földgázvezeték-rendszert érintő várható éghajlati és földtani hatások</w:t>
            </w:r>
            <w:r>
              <w:rPr>
                <w:noProof/>
                <w:webHidden/>
              </w:rPr>
              <w:tab/>
            </w:r>
            <w:r>
              <w:rPr>
                <w:noProof/>
                <w:webHidden/>
              </w:rPr>
              <w:fldChar w:fldCharType="begin"/>
            </w:r>
            <w:r>
              <w:rPr>
                <w:noProof/>
                <w:webHidden/>
              </w:rPr>
              <w:instrText xml:space="preserve"> PAGEREF _Toc147484201 \h </w:instrText>
            </w:r>
            <w:r>
              <w:rPr>
                <w:noProof/>
                <w:webHidden/>
              </w:rPr>
            </w:r>
            <w:r>
              <w:rPr>
                <w:noProof/>
                <w:webHidden/>
              </w:rPr>
              <w:fldChar w:fldCharType="separate"/>
            </w:r>
            <w:r>
              <w:rPr>
                <w:noProof/>
                <w:webHidden/>
              </w:rPr>
              <w:t>28</w:t>
            </w:r>
            <w:r>
              <w:rPr>
                <w:noProof/>
                <w:webHidden/>
              </w:rPr>
              <w:fldChar w:fldCharType="end"/>
            </w:r>
          </w:hyperlink>
        </w:p>
        <w:p w14:paraId="747E7542" w14:textId="2FD771AC"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202" w:history="1">
            <w:r w:rsidRPr="00360483">
              <w:rPr>
                <w:rStyle w:val="Hiperhivatkozs"/>
                <w:noProof/>
              </w:rPr>
              <w:t>8.1. Az indikátorok kialakítása és a hatáslánc</w:t>
            </w:r>
            <w:r>
              <w:rPr>
                <w:noProof/>
                <w:webHidden/>
              </w:rPr>
              <w:tab/>
            </w:r>
            <w:r>
              <w:rPr>
                <w:noProof/>
                <w:webHidden/>
              </w:rPr>
              <w:fldChar w:fldCharType="begin"/>
            </w:r>
            <w:r>
              <w:rPr>
                <w:noProof/>
                <w:webHidden/>
              </w:rPr>
              <w:instrText xml:space="preserve"> PAGEREF _Toc147484202 \h </w:instrText>
            </w:r>
            <w:r>
              <w:rPr>
                <w:noProof/>
                <w:webHidden/>
              </w:rPr>
            </w:r>
            <w:r>
              <w:rPr>
                <w:noProof/>
                <w:webHidden/>
              </w:rPr>
              <w:fldChar w:fldCharType="separate"/>
            </w:r>
            <w:r>
              <w:rPr>
                <w:noProof/>
                <w:webHidden/>
              </w:rPr>
              <w:t>28</w:t>
            </w:r>
            <w:r>
              <w:rPr>
                <w:noProof/>
                <w:webHidden/>
              </w:rPr>
              <w:fldChar w:fldCharType="end"/>
            </w:r>
          </w:hyperlink>
        </w:p>
        <w:p w14:paraId="32656D92" w14:textId="108AF007"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203" w:history="1">
            <w:r w:rsidRPr="00360483">
              <w:rPr>
                <w:rStyle w:val="Hiperhivatkozs"/>
                <w:noProof/>
              </w:rPr>
              <w:t>8.2. A nagynyomású földgázhálózat vezetékszakaszainak kitettségi jellemzői</w:t>
            </w:r>
            <w:r>
              <w:rPr>
                <w:noProof/>
                <w:webHidden/>
              </w:rPr>
              <w:tab/>
            </w:r>
            <w:r>
              <w:rPr>
                <w:noProof/>
                <w:webHidden/>
              </w:rPr>
              <w:fldChar w:fldCharType="begin"/>
            </w:r>
            <w:r>
              <w:rPr>
                <w:noProof/>
                <w:webHidden/>
              </w:rPr>
              <w:instrText xml:space="preserve"> PAGEREF _Toc147484203 \h </w:instrText>
            </w:r>
            <w:r>
              <w:rPr>
                <w:noProof/>
                <w:webHidden/>
              </w:rPr>
            </w:r>
            <w:r>
              <w:rPr>
                <w:noProof/>
                <w:webHidden/>
              </w:rPr>
              <w:fldChar w:fldCharType="separate"/>
            </w:r>
            <w:r>
              <w:rPr>
                <w:noProof/>
                <w:webHidden/>
              </w:rPr>
              <w:t>29</w:t>
            </w:r>
            <w:r>
              <w:rPr>
                <w:noProof/>
                <w:webHidden/>
              </w:rPr>
              <w:fldChar w:fldCharType="end"/>
            </w:r>
          </w:hyperlink>
        </w:p>
        <w:p w14:paraId="782958F8" w14:textId="1F9E4A33"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204" w:history="1">
            <w:r w:rsidRPr="00360483">
              <w:rPr>
                <w:rStyle w:val="Hiperhivatkozs"/>
                <w:noProof/>
              </w:rPr>
              <w:t>8.3. A nagynyomású földgázhálózat vezetékszakaszainak érzékenységi adottságai</w:t>
            </w:r>
            <w:r>
              <w:rPr>
                <w:noProof/>
                <w:webHidden/>
              </w:rPr>
              <w:tab/>
            </w:r>
            <w:r>
              <w:rPr>
                <w:noProof/>
                <w:webHidden/>
              </w:rPr>
              <w:fldChar w:fldCharType="begin"/>
            </w:r>
            <w:r>
              <w:rPr>
                <w:noProof/>
                <w:webHidden/>
              </w:rPr>
              <w:instrText xml:space="preserve"> PAGEREF _Toc147484204 \h </w:instrText>
            </w:r>
            <w:r>
              <w:rPr>
                <w:noProof/>
                <w:webHidden/>
              </w:rPr>
            </w:r>
            <w:r>
              <w:rPr>
                <w:noProof/>
                <w:webHidden/>
              </w:rPr>
              <w:fldChar w:fldCharType="separate"/>
            </w:r>
            <w:r>
              <w:rPr>
                <w:noProof/>
                <w:webHidden/>
              </w:rPr>
              <w:t>31</w:t>
            </w:r>
            <w:r>
              <w:rPr>
                <w:noProof/>
                <w:webHidden/>
              </w:rPr>
              <w:fldChar w:fldCharType="end"/>
            </w:r>
          </w:hyperlink>
        </w:p>
        <w:p w14:paraId="6547279D" w14:textId="0361E993"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205" w:history="1">
            <w:r w:rsidRPr="00360483">
              <w:rPr>
                <w:rStyle w:val="Hiperhivatkozs"/>
                <w:noProof/>
              </w:rPr>
              <w:t>8.4. A nagynyomású földgázhálózat vezetékszakaszainak esetében várható komplex hatások</w:t>
            </w:r>
            <w:r>
              <w:rPr>
                <w:noProof/>
                <w:webHidden/>
              </w:rPr>
              <w:tab/>
            </w:r>
            <w:r>
              <w:rPr>
                <w:noProof/>
                <w:webHidden/>
              </w:rPr>
              <w:fldChar w:fldCharType="begin"/>
            </w:r>
            <w:r>
              <w:rPr>
                <w:noProof/>
                <w:webHidden/>
              </w:rPr>
              <w:instrText xml:space="preserve"> PAGEREF _Toc147484205 \h </w:instrText>
            </w:r>
            <w:r>
              <w:rPr>
                <w:noProof/>
                <w:webHidden/>
              </w:rPr>
            </w:r>
            <w:r>
              <w:rPr>
                <w:noProof/>
                <w:webHidden/>
              </w:rPr>
              <w:fldChar w:fldCharType="separate"/>
            </w:r>
            <w:r>
              <w:rPr>
                <w:noProof/>
                <w:webHidden/>
              </w:rPr>
              <w:t>32</w:t>
            </w:r>
            <w:r>
              <w:rPr>
                <w:noProof/>
                <w:webHidden/>
              </w:rPr>
              <w:fldChar w:fldCharType="end"/>
            </w:r>
          </w:hyperlink>
        </w:p>
        <w:p w14:paraId="75C7A63F" w14:textId="1D357506" w:rsidR="00507AEB" w:rsidRDefault="00507AEB" w:rsidP="00507AEB">
          <w:pPr>
            <w:pStyle w:val="TJ1"/>
            <w:jc w:val="left"/>
            <w:rPr>
              <w:rFonts w:asciiTheme="minorHAnsi" w:eastAsiaTheme="minorEastAsia" w:hAnsiTheme="minorHAnsi" w:cstheme="minorBidi"/>
              <w:noProof/>
              <w:sz w:val="22"/>
              <w:szCs w:val="22"/>
              <w:lang w:eastAsia="hu-HU"/>
            </w:rPr>
          </w:pPr>
          <w:hyperlink w:anchor="_Toc147484206" w:history="1">
            <w:r w:rsidRPr="00360483">
              <w:rPr>
                <w:rStyle w:val="Hiperhivatkozs"/>
                <w:noProof/>
              </w:rPr>
              <w:t>9. A nagy hőkiadású távhőkörzetek szállító rendszerelemeinek várható éghajlati és földtani sérülékenysége</w:t>
            </w:r>
            <w:r>
              <w:rPr>
                <w:noProof/>
                <w:webHidden/>
              </w:rPr>
              <w:tab/>
            </w:r>
            <w:r>
              <w:rPr>
                <w:noProof/>
                <w:webHidden/>
              </w:rPr>
              <w:fldChar w:fldCharType="begin"/>
            </w:r>
            <w:r>
              <w:rPr>
                <w:noProof/>
                <w:webHidden/>
              </w:rPr>
              <w:instrText xml:space="preserve"> PAGEREF _Toc147484206 \h </w:instrText>
            </w:r>
            <w:r>
              <w:rPr>
                <w:noProof/>
                <w:webHidden/>
              </w:rPr>
            </w:r>
            <w:r>
              <w:rPr>
                <w:noProof/>
                <w:webHidden/>
              </w:rPr>
              <w:fldChar w:fldCharType="separate"/>
            </w:r>
            <w:r>
              <w:rPr>
                <w:noProof/>
                <w:webHidden/>
              </w:rPr>
              <w:t>34</w:t>
            </w:r>
            <w:r>
              <w:rPr>
                <w:noProof/>
                <w:webHidden/>
              </w:rPr>
              <w:fldChar w:fldCharType="end"/>
            </w:r>
          </w:hyperlink>
        </w:p>
        <w:p w14:paraId="0741B487" w14:textId="13BDF728"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207" w:history="1">
            <w:r w:rsidRPr="00360483">
              <w:rPr>
                <w:rStyle w:val="Hiperhivatkozs"/>
                <w:noProof/>
              </w:rPr>
              <w:t>9.1 A kialakított sérülékenységi hatáslánc és fő indikátorai</w:t>
            </w:r>
            <w:r>
              <w:rPr>
                <w:noProof/>
                <w:webHidden/>
              </w:rPr>
              <w:tab/>
            </w:r>
            <w:r>
              <w:rPr>
                <w:noProof/>
                <w:webHidden/>
              </w:rPr>
              <w:fldChar w:fldCharType="begin"/>
            </w:r>
            <w:r>
              <w:rPr>
                <w:noProof/>
                <w:webHidden/>
              </w:rPr>
              <w:instrText xml:space="preserve"> PAGEREF _Toc147484207 \h </w:instrText>
            </w:r>
            <w:r>
              <w:rPr>
                <w:noProof/>
                <w:webHidden/>
              </w:rPr>
            </w:r>
            <w:r>
              <w:rPr>
                <w:noProof/>
                <w:webHidden/>
              </w:rPr>
              <w:fldChar w:fldCharType="separate"/>
            </w:r>
            <w:r>
              <w:rPr>
                <w:noProof/>
                <w:webHidden/>
              </w:rPr>
              <w:t>34</w:t>
            </w:r>
            <w:r>
              <w:rPr>
                <w:noProof/>
                <w:webHidden/>
              </w:rPr>
              <w:fldChar w:fldCharType="end"/>
            </w:r>
          </w:hyperlink>
        </w:p>
        <w:p w14:paraId="7EB75969" w14:textId="40488E5A"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208" w:history="1">
            <w:r w:rsidRPr="00360483">
              <w:rPr>
                <w:rStyle w:val="Hiperhivatkozs"/>
                <w:noProof/>
              </w:rPr>
              <w:t>9.2. A nagy hőkiadású távhőkörzetek kitettségi jellemzői</w:t>
            </w:r>
            <w:r>
              <w:rPr>
                <w:noProof/>
                <w:webHidden/>
              </w:rPr>
              <w:tab/>
            </w:r>
            <w:r>
              <w:rPr>
                <w:noProof/>
                <w:webHidden/>
              </w:rPr>
              <w:fldChar w:fldCharType="begin"/>
            </w:r>
            <w:r>
              <w:rPr>
                <w:noProof/>
                <w:webHidden/>
              </w:rPr>
              <w:instrText xml:space="preserve"> PAGEREF _Toc147484208 \h </w:instrText>
            </w:r>
            <w:r>
              <w:rPr>
                <w:noProof/>
                <w:webHidden/>
              </w:rPr>
            </w:r>
            <w:r>
              <w:rPr>
                <w:noProof/>
                <w:webHidden/>
              </w:rPr>
              <w:fldChar w:fldCharType="separate"/>
            </w:r>
            <w:r>
              <w:rPr>
                <w:noProof/>
                <w:webHidden/>
              </w:rPr>
              <w:t>35</w:t>
            </w:r>
            <w:r>
              <w:rPr>
                <w:noProof/>
                <w:webHidden/>
              </w:rPr>
              <w:fldChar w:fldCharType="end"/>
            </w:r>
          </w:hyperlink>
        </w:p>
        <w:p w14:paraId="5AEDFE17" w14:textId="2B00B05F"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209" w:history="1">
            <w:r w:rsidRPr="00360483">
              <w:rPr>
                <w:rStyle w:val="Hiperhivatkozs"/>
                <w:noProof/>
              </w:rPr>
              <w:t>9.3. A távhőkörzetek érzékenységi adottságai</w:t>
            </w:r>
            <w:r>
              <w:rPr>
                <w:noProof/>
                <w:webHidden/>
              </w:rPr>
              <w:tab/>
            </w:r>
            <w:r>
              <w:rPr>
                <w:noProof/>
                <w:webHidden/>
              </w:rPr>
              <w:fldChar w:fldCharType="begin"/>
            </w:r>
            <w:r>
              <w:rPr>
                <w:noProof/>
                <w:webHidden/>
              </w:rPr>
              <w:instrText xml:space="preserve"> PAGEREF _Toc147484209 \h </w:instrText>
            </w:r>
            <w:r>
              <w:rPr>
                <w:noProof/>
                <w:webHidden/>
              </w:rPr>
            </w:r>
            <w:r>
              <w:rPr>
                <w:noProof/>
                <w:webHidden/>
              </w:rPr>
              <w:fldChar w:fldCharType="separate"/>
            </w:r>
            <w:r>
              <w:rPr>
                <w:noProof/>
                <w:webHidden/>
              </w:rPr>
              <w:t>37</w:t>
            </w:r>
            <w:r>
              <w:rPr>
                <w:noProof/>
                <w:webHidden/>
              </w:rPr>
              <w:fldChar w:fldCharType="end"/>
            </w:r>
          </w:hyperlink>
        </w:p>
        <w:p w14:paraId="77399663" w14:textId="1327B119"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210" w:history="1">
            <w:r w:rsidRPr="00360483">
              <w:rPr>
                <w:rStyle w:val="Hiperhivatkozs"/>
                <w:noProof/>
              </w:rPr>
              <w:t>9.4. A vizsgált távhőkörzetek esetében várható komplex hatások</w:t>
            </w:r>
            <w:r>
              <w:rPr>
                <w:noProof/>
                <w:webHidden/>
              </w:rPr>
              <w:tab/>
            </w:r>
            <w:r>
              <w:rPr>
                <w:noProof/>
                <w:webHidden/>
              </w:rPr>
              <w:fldChar w:fldCharType="begin"/>
            </w:r>
            <w:r>
              <w:rPr>
                <w:noProof/>
                <w:webHidden/>
              </w:rPr>
              <w:instrText xml:space="preserve"> PAGEREF _Toc147484210 \h </w:instrText>
            </w:r>
            <w:r>
              <w:rPr>
                <w:noProof/>
                <w:webHidden/>
              </w:rPr>
            </w:r>
            <w:r>
              <w:rPr>
                <w:noProof/>
                <w:webHidden/>
              </w:rPr>
              <w:fldChar w:fldCharType="separate"/>
            </w:r>
            <w:r>
              <w:rPr>
                <w:noProof/>
                <w:webHidden/>
              </w:rPr>
              <w:t>39</w:t>
            </w:r>
            <w:r>
              <w:rPr>
                <w:noProof/>
                <w:webHidden/>
              </w:rPr>
              <w:fldChar w:fldCharType="end"/>
            </w:r>
          </w:hyperlink>
        </w:p>
        <w:p w14:paraId="774B5297" w14:textId="058E8601"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211" w:history="1">
            <w:r w:rsidRPr="00360483">
              <w:rPr>
                <w:rStyle w:val="Hiperhivatkozs"/>
                <w:noProof/>
              </w:rPr>
              <w:t>9.5 A vizsgált távhőkörzetek alkalmazkodóképességi jellemzői</w:t>
            </w:r>
            <w:r>
              <w:rPr>
                <w:noProof/>
                <w:webHidden/>
              </w:rPr>
              <w:tab/>
            </w:r>
            <w:r>
              <w:rPr>
                <w:noProof/>
                <w:webHidden/>
              </w:rPr>
              <w:fldChar w:fldCharType="begin"/>
            </w:r>
            <w:r>
              <w:rPr>
                <w:noProof/>
                <w:webHidden/>
              </w:rPr>
              <w:instrText xml:space="preserve"> PAGEREF _Toc147484211 \h </w:instrText>
            </w:r>
            <w:r>
              <w:rPr>
                <w:noProof/>
                <w:webHidden/>
              </w:rPr>
            </w:r>
            <w:r>
              <w:rPr>
                <w:noProof/>
                <w:webHidden/>
              </w:rPr>
              <w:fldChar w:fldCharType="separate"/>
            </w:r>
            <w:r>
              <w:rPr>
                <w:noProof/>
                <w:webHidden/>
              </w:rPr>
              <w:t>40</w:t>
            </w:r>
            <w:r>
              <w:rPr>
                <w:noProof/>
                <w:webHidden/>
              </w:rPr>
              <w:fldChar w:fldCharType="end"/>
            </w:r>
          </w:hyperlink>
        </w:p>
        <w:p w14:paraId="1FAC6A29" w14:textId="67CB8963"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212" w:history="1">
            <w:r w:rsidRPr="00360483">
              <w:rPr>
                <w:rStyle w:val="Hiperhivatkozs"/>
                <w:noProof/>
              </w:rPr>
              <w:t xml:space="preserve">9.6. A vizsgált nagy hőkiadású távhőkörzetek esetében várható komplex </w:t>
            </w:r>
            <w:r>
              <w:rPr>
                <w:rStyle w:val="Hiperhivatkozs"/>
                <w:noProof/>
              </w:rPr>
              <w:br/>
            </w:r>
            <w:r w:rsidRPr="00360483">
              <w:rPr>
                <w:rStyle w:val="Hiperhivatkozs"/>
                <w:noProof/>
              </w:rPr>
              <w:t>sérülékenység</w:t>
            </w:r>
            <w:r>
              <w:rPr>
                <w:noProof/>
                <w:webHidden/>
              </w:rPr>
              <w:tab/>
            </w:r>
            <w:r>
              <w:rPr>
                <w:noProof/>
                <w:webHidden/>
              </w:rPr>
              <w:fldChar w:fldCharType="begin"/>
            </w:r>
            <w:r>
              <w:rPr>
                <w:noProof/>
                <w:webHidden/>
              </w:rPr>
              <w:instrText xml:space="preserve"> PAGEREF _Toc147484212 \h </w:instrText>
            </w:r>
            <w:r>
              <w:rPr>
                <w:noProof/>
                <w:webHidden/>
              </w:rPr>
            </w:r>
            <w:r>
              <w:rPr>
                <w:noProof/>
                <w:webHidden/>
              </w:rPr>
              <w:fldChar w:fldCharType="separate"/>
            </w:r>
            <w:r>
              <w:rPr>
                <w:noProof/>
                <w:webHidden/>
              </w:rPr>
              <w:t>41</w:t>
            </w:r>
            <w:r>
              <w:rPr>
                <w:noProof/>
                <w:webHidden/>
              </w:rPr>
              <w:fldChar w:fldCharType="end"/>
            </w:r>
          </w:hyperlink>
        </w:p>
        <w:p w14:paraId="347171C0" w14:textId="6CAC292B" w:rsidR="00507AEB" w:rsidRDefault="00507AEB" w:rsidP="00507AEB">
          <w:pPr>
            <w:pStyle w:val="TJ1"/>
            <w:jc w:val="left"/>
            <w:rPr>
              <w:rFonts w:asciiTheme="minorHAnsi" w:eastAsiaTheme="minorEastAsia" w:hAnsiTheme="minorHAnsi" w:cstheme="minorBidi"/>
              <w:noProof/>
              <w:sz w:val="22"/>
              <w:szCs w:val="22"/>
              <w:lang w:eastAsia="hu-HU"/>
            </w:rPr>
          </w:pPr>
          <w:hyperlink w:anchor="_Toc147484213" w:history="1">
            <w:r w:rsidRPr="00360483">
              <w:rPr>
                <w:rStyle w:val="Hiperhivatkozs"/>
                <w:noProof/>
              </w:rPr>
              <w:t>10. A nagyfeszültségű átviteli hálózatot érintő várható éghajlati és földtani hatások</w:t>
            </w:r>
            <w:r>
              <w:rPr>
                <w:noProof/>
                <w:webHidden/>
              </w:rPr>
              <w:tab/>
            </w:r>
            <w:r>
              <w:rPr>
                <w:noProof/>
                <w:webHidden/>
              </w:rPr>
              <w:fldChar w:fldCharType="begin"/>
            </w:r>
            <w:r>
              <w:rPr>
                <w:noProof/>
                <w:webHidden/>
              </w:rPr>
              <w:instrText xml:space="preserve"> PAGEREF _Toc147484213 \h </w:instrText>
            </w:r>
            <w:r>
              <w:rPr>
                <w:noProof/>
                <w:webHidden/>
              </w:rPr>
            </w:r>
            <w:r>
              <w:rPr>
                <w:noProof/>
                <w:webHidden/>
              </w:rPr>
              <w:fldChar w:fldCharType="separate"/>
            </w:r>
            <w:r>
              <w:rPr>
                <w:noProof/>
                <w:webHidden/>
              </w:rPr>
              <w:t>43</w:t>
            </w:r>
            <w:r>
              <w:rPr>
                <w:noProof/>
                <w:webHidden/>
              </w:rPr>
              <w:fldChar w:fldCharType="end"/>
            </w:r>
          </w:hyperlink>
        </w:p>
        <w:p w14:paraId="7F2597D5" w14:textId="4786547E"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214" w:history="1">
            <w:r w:rsidRPr="00360483">
              <w:rPr>
                <w:rStyle w:val="Hiperhivatkozs"/>
                <w:noProof/>
              </w:rPr>
              <w:t>10.1 A kialakított hatáslánc</w:t>
            </w:r>
            <w:r>
              <w:rPr>
                <w:noProof/>
                <w:webHidden/>
              </w:rPr>
              <w:tab/>
            </w:r>
            <w:r>
              <w:rPr>
                <w:noProof/>
                <w:webHidden/>
              </w:rPr>
              <w:fldChar w:fldCharType="begin"/>
            </w:r>
            <w:r>
              <w:rPr>
                <w:noProof/>
                <w:webHidden/>
              </w:rPr>
              <w:instrText xml:space="preserve"> PAGEREF _Toc147484214 \h </w:instrText>
            </w:r>
            <w:r>
              <w:rPr>
                <w:noProof/>
                <w:webHidden/>
              </w:rPr>
            </w:r>
            <w:r>
              <w:rPr>
                <w:noProof/>
                <w:webHidden/>
              </w:rPr>
              <w:fldChar w:fldCharType="separate"/>
            </w:r>
            <w:r>
              <w:rPr>
                <w:noProof/>
                <w:webHidden/>
              </w:rPr>
              <w:t>43</w:t>
            </w:r>
            <w:r>
              <w:rPr>
                <w:noProof/>
                <w:webHidden/>
              </w:rPr>
              <w:fldChar w:fldCharType="end"/>
            </w:r>
          </w:hyperlink>
        </w:p>
        <w:p w14:paraId="603EB259" w14:textId="4EB43BDF"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215" w:history="1">
            <w:r w:rsidRPr="00360483">
              <w:rPr>
                <w:rStyle w:val="Hiperhivatkozs"/>
                <w:noProof/>
              </w:rPr>
              <w:t>10.2. Az átviteli hálózat kitettségi jellemzői</w:t>
            </w:r>
            <w:r>
              <w:rPr>
                <w:noProof/>
                <w:webHidden/>
              </w:rPr>
              <w:tab/>
            </w:r>
            <w:r>
              <w:rPr>
                <w:noProof/>
                <w:webHidden/>
              </w:rPr>
              <w:fldChar w:fldCharType="begin"/>
            </w:r>
            <w:r>
              <w:rPr>
                <w:noProof/>
                <w:webHidden/>
              </w:rPr>
              <w:instrText xml:space="preserve"> PAGEREF _Toc147484215 \h </w:instrText>
            </w:r>
            <w:r>
              <w:rPr>
                <w:noProof/>
                <w:webHidden/>
              </w:rPr>
            </w:r>
            <w:r>
              <w:rPr>
                <w:noProof/>
                <w:webHidden/>
              </w:rPr>
              <w:fldChar w:fldCharType="separate"/>
            </w:r>
            <w:r>
              <w:rPr>
                <w:noProof/>
                <w:webHidden/>
              </w:rPr>
              <w:t>45</w:t>
            </w:r>
            <w:r>
              <w:rPr>
                <w:noProof/>
                <w:webHidden/>
              </w:rPr>
              <w:fldChar w:fldCharType="end"/>
            </w:r>
          </w:hyperlink>
        </w:p>
        <w:p w14:paraId="604CF6CB" w14:textId="36462AA8"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216" w:history="1">
            <w:r w:rsidRPr="00360483">
              <w:rPr>
                <w:rStyle w:val="Hiperhivatkozs"/>
                <w:noProof/>
              </w:rPr>
              <w:t>10.3. Az átviteli hálózat vezetékszakaszainak érzékenységi adottságai</w:t>
            </w:r>
            <w:r>
              <w:rPr>
                <w:noProof/>
                <w:webHidden/>
              </w:rPr>
              <w:tab/>
            </w:r>
            <w:r>
              <w:rPr>
                <w:noProof/>
                <w:webHidden/>
              </w:rPr>
              <w:fldChar w:fldCharType="begin"/>
            </w:r>
            <w:r>
              <w:rPr>
                <w:noProof/>
                <w:webHidden/>
              </w:rPr>
              <w:instrText xml:space="preserve"> PAGEREF _Toc147484216 \h </w:instrText>
            </w:r>
            <w:r>
              <w:rPr>
                <w:noProof/>
                <w:webHidden/>
              </w:rPr>
            </w:r>
            <w:r>
              <w:rPr>
                <w:noProof/>
                <w:webHidden/>
              </w:rPr>
              <w:fldChar w:fldCharType="separate"/>
            </w:r>
            <w:r>
              <w:rPr>
                <w:noProof/>
                <w:webHidden/>
              </w:rPr>
              <w:t>47</w:t>
            </w:r>
            <w:r>
              <w:rPr>
                <w:noProof/>
                <w:webHidden/>
              </w:rPr>
              <w:fldChar w:fldCharType="end"/>
            </w:r>
          </w:hyperlink>
        </w:p>
        <w:p w14:paraId="03A4AA42" w14:textId="6E33D57B" w:rsidR="00507AEB" w:rsidRDefault="00507AEB" w:rsidP="00507AEB">
          <w:pPr>
            <w:pStyle w:val="TJ2"/>
            <w:jc w:val="left"/>
            <w:rPr>
              <w:rFonts w:asciiTheme="minorHAnsi" w:eastAsiaTheme="minorEastAsia" w:hAnsiTheme="minorHAnsi" w:cstheme="minorBidi"/>
              <w:noProof/>
              <w:sz w:val="22"/>
              <w:szCs w:val="22"/>
              <w:lang w:eastAsia="hu-HU"/>
            </w:rPr>
          </w:pPr>
          <w:hyperlink w:anchor="_Toc147484217" w:history="1">
            <w:r w:rsidRPr="00360483">
              <w:rPr>
                <w:rStyle w:val="Hiperhivatkozs"/>
                <w:noProof/>
              </w:rPr>
              <w:t>10.4. Az átviteli hálózat vezetékszakaszai esetében várható komplex hatások</w:t>
            </w:r>
            <w:r>
              <w:rPr>
                <w:noProof/>
                <w:webHidden/>
              </w:rPr>
              <w:tab/>
            </w:r>
            <w:r>
              <w:rPr>
                <w:noProof/>
                <w:webHidden/>
              </w:rPr>
              <w:fldChar w:fldCharType="begin"/>
            </w:r>
            <w:r>
              <w:rPr>
                <w:noProof/>
                <w:webHidden/>
              </w:rPr>
              <w:instrText xml:space="preserve"> PAGEREF _Toc147484217 \h </w:instrText>
            </w:r>
            <w:r>
              <w:rPr>
                <w:noProof/>
                <w:webHidden/>
              </w:rPr>
            </w:r>
            <w:r>
              <w:rPr>
                <w:noProof/>
                <w:webHidden/>
              </w:rPr>
              <w:fldChar w:fldCharType="separate"/>
            </w:r>
            <w:r>
              <w:rPr>
                <w:noProof/>
                <w:webHidden/>
              </w:rPr>
              <w:t>48</w:t>
            </w:r>
            <w:r>
              <w:rPr>
                <w:noProof/>
                <w:webHidden/>
              </w:rPr>
              <w:fldChar w:fldCharType="end"/>
            </w:r>
          </w:hyperlink>
        </w:p>
        <w:p w14:paraId="5F2457A7" w14:textId="0A1C8081" w:rsidR="00507AEB" w:rsidRDefault="00507AEB" w:rsidP="00507AEB">
          <w:pPr>
            <w:pStyle w:val="TJ1"/>
            <w:jc w:val="left"/>
            <w:rPr>
              <w:rFonts w:asciiTheme="minorHAnsi" w:eastAsiaTheme="minorEastAsia" w:hAnsiTheme="minorHAnsi" w:cstheme="minorBidi"/>
              <w:noProof/>
              <w:sz w:val="22"/>
              <w:szCs w:val="22"/>
              <w:lang w:eastAsia="hu-HU"/>
            </w:rPr>
          </w:pPr>
          <w:hyperlink w:anchor="_Toc147484218" w:history="1">
            <w:r w:rsidRPr="00360483">
              <w:rPr>
                <w:rStyle w:val="Hiperhivatkozs"/>
                <w:noProof/>
              </w:rPr>
              <w:t>11. A jelen vizsgálatok továbbfejlesztési lehetőségei</w:t>
            </w:r>
            <w:r>
              <w:rPr>
                <w:noProof/>
                <w:webHidden/>
              </w:rPr>
              <w:tab/>
            </w:r>
            <w:r>
              <w:rPr>
                <w:noProof/>
                <w:webHidden/>
              </w:rPr>
              <w:fldChar w:fldCharType="begin"/>
            </w:r>
            <w:r>
              <w:rPr>
                <w:noProof/>
                <w:webHidden/>
              </w:rPr>
              <w:instrText xml:space="preserve"> PAGEREF _Toc147484218 \h </w:instrText>
            </w:r>
            <w:r>
              <w:rPr>
                <w:noProof/>
                <w:webHidden/>
              </w:rPr>
            </w:r>
            <w:r>
              <w:rPr>
                <w:noProof/>
                <w:webHidden/>
              </w:rPr>
              <w:fldChar w:fldCharType="separate"/>
            </w:r>
            <w:r>
              <w:rPr>
                <w:noProof/>
                <w:webHidden/>
              </w:rPr>
              <w:t>49</w:t>
            </w:r>
            <w:r>
              <w:rPr>
                <w:noProof/>
                <w:webHidden/>
              </w:rPr>
              <w:fldChar w:fldCharType="end"/>
            </w:r>
          </w:hyperlink>
        </w:p>
        <w:p w14:paraId="10438BEB" w14:textId="7735D8D0" w:rsidR="00507AEB" w:rsidRDefault="00507AEB" w:rsidP="00507AEB">
          <w:pPr>
            <w:pStyle w:val="TJ1"/>
            <w:jc w:val="left"/>
            <w:rPr>
              <w:rFonts w:asciiTheme="minorHAnsi" w:eastAsiaTheme="minorEastAsia" w:hAnsiTheme="minorHAnsi" w:cstheme="minorBidi"/>
              <w:noProof/>
              <w:sz w:val="22"/>
              <w:szCs w:val="22"/>
              <w:lang w:eastAsia="hu-HU"/>
            </w:rPr>
          </w:pPr>
          <w:hyperlink w:anchor="_Toc147484219" w:history="1">
            <w:r w:rsidRPr="00360483">
              <w:rPr>
                <w:rStyle w:val="Hiperhivatkozs"/>
                <w:noProof/>
              </w:rPr>
              <w:t>Felhasznált irodalom</w:t>
            </w:r>
            <w:r>
              <w:rPr>
                <w:noProof/>
                <w:webHidden/>
              </w:rPr>
              <w:tab/>
            </w:r>
            <w:r>
              <w:rPr>
                <w:noProof/>
                <w:webHidden/>
              </w:rPr>
              <w:fldChar w:fldCharType="begin"/>
            </w:r>
            <w:r>
              <w:rPr>
                <w:noProof/>
                <w:webHidden/>
              </w:rPr>
              <w:instrText xml:space="preserve"> PAGEREF _Toc147484219 \h </w:instrText>
            </w:r>
            <w:r>
              <w:rPr>
                <w:noProof/>
                <w:webHidden/>
              </w:rPr>
            </w:r>
            <w:r>
              <w:rPr>
                <w:noProof/>
                <w:webHidden/>
              </w:rPr>
              <w:fldChar w:fldCharType="separate"/>
            </w:r>
            <w:r>
              <w:rPr>
                <w:noProof/>
                <w:webHidden/>
              </w:rPr>
              <w:t>50</w:t>
            </w:r>
            <w:r>
              <w:rPr>
                <w:noProof/>
                <w:webHidden/>
              </w:rPr>
              <w:fldChar w:fldCharType="end"/>
            </w:r>
          </w:hyperlink>
        </w:p>
        <w:p w14:paraId="6A05A809" w14:textId="0A5B7F94" w:rsidR="0019435F" w:rsidRPr="00592227" w:rsidRDefault="0019435F" w:rsidP="00507AEB">
          <w:pPr>
            <w:jc w:val="left"/>
          </w:pPr>
          <w:r w:rsidRPr="00592227">
            <w:rPr>
              <w:b/>
              <w:bCs/>
            </w:rPr>
            <w:fldChar w:fldCharType="end"/>
          </w:r>
        </w:p>
      </w:sdtContent>
    </w:sdt>
    <w:p w14:paraId="59242ED1" w14:textId="77777777" w:rsidR="00D80777" w:rsidRPr="006D5975" w:rsidRDefault="00D80777" w:rsidP="006D5975">
      <w:pPr>
        <w:pStyle w:val="Cmsor1"/>
      </w:pPr>
      <w:bookmarkStart w:id="1" w:name="_Toc147484184"/>
      <w:r w:rsidRPr="006D5975">
        <w:lastRenderedPageBreak/>
        <w:t>1. Bevezetés</w:t>
      </w:r>
      <w:bookmarkEnd w:id="1"/>
    </w:p>
    <w:p w14:paraId="60EBEF8F" w14:textId="77777777" w:rsidR="00D80777" w:rsidRPr="006D5975" w:rsidRDefault="00D80777" w:rsidP="006D5975">
      <w:pPr>
        <w:pStyle w:val="Cmsor2"/>
      </w:pPr>
      <w:bookmarkStart w:id="2" w:name="_Toc147484185"/>
      <w:r w:rsidRPr="006D5975">
        <w:t xml:space="preserve">1.1 </w:t>
      </w:r>
      <w:r w:rsidR="006D083F" w:rsidRPr="006D5975">
        <w:t>A f</w:t>
      </w:r>
      <w:r w:rsidRPr="006D5975">
        <w:t>eladat indokoltsága</w:t>
      </w:r>
      <w:bookmarkEnd w:id="2"/>
    </w:p>
    <w:p w14:paraId="782F8495" w14:textId="77777777" w:rsidR="005C2925" w:rsidRPr="00592227" w:rsidRDefault="005C2925" w:rsidP="005C2925">
      <w:r w:rsidRPr="00592227">
        <w:t>Magyarországon az energiaszuverenitás és az energia ellátásbiztonság kiemelt célkitűzések, hiszen az energiaellátás jelentős szerepet játszik társadalmi–gazdasági rendszereink folyamatos működésében, ezért az energiaszolgáltatások megbízható, folyamatos biztosítása kulcsfontosságú feladat.</w:t>
      </w:r>
    </w:p>
    <w:p w14:paraId="7E8F539C" w14:textId="77777777" w:rsidR="005C2925" w:rsidRPr="00592227" w:rsidRDefault="005C2925" w:rsidP="005C2925">
      <w:r w:rsidRPr="00592227">
        <w:t xml:space="preserve">A jelenkori éghajlatváltozás már napjainkban is tapasztalható hatásai több módon is károsan érinthetik az energiatermelő és </w:t>
      </w:r>
      <w:r w:rsidR="00BA7331" w:rsidRPr="00592227">
        <w:t xml:space="preserve">az </w:t>
      </w:r>
      <w:r w:rsidRPr="00592227">
        <w:t xml:space="preserve">energiaszállító rendszereket. A fizikai infrastruktúra elemeit (például nagyfeszültségű átviteli hálózat, áramátalakító berendezések stb.) például az erős széllökések, a tapadó csapadékok (a fagy és zúzmara), a fokozódó extrém, főleg nyári időjárási események, illetve egyes, várhatóan növekvő kockázatú földtani veszélyforrások (például omlások, csuszamlások) közvetlenül és bizonyos esetekben közvetve is veszélyeztethetik. Annak érdekében, hogy meg tudjuk ítélni, hogy a villamosenergia-, földgáz- és távhőrendszereket hogyan érintik a </w:t>
      </w:r>
      <w:r w:rsidR="00BA7331" w:rsidRPr="00592227">
        <w:t xml:space="preserve">jelenkori </w:t>
      </w:r>
      <w:r w:rsidRPr="00592227">
        <w:t xml:space="preserve">klímaváltozás és a várhatóan erősödő földtani veszélyek hatásai, részletesen meg kell vizsgálnunk a hazai energetikai infrastruktúra </w:t>
      </w:r>
      <w:r w:rsidR="00BA7331" w:rsidRPr="00592227">
        <w:t xml:space="preserve">éghajlati, földtani kitettségének várható változását, </w:t>
      </w:r>
      <w:r w:rsidRPr="00592227">
        <w:t>kiemelt elemeinek érzékenységét és a hatásokhoz való alkalmazkodás lehetőségeit</w:t>
      </w:r>
      <w:r w:rsidR="00BA7331" w:rsidRPr="00592227">
        <w:t xml:space="preserve">, vagyis az összetett </w:t>
      </w:r>
      <w:r w:rsidR="00035541" w:rsidRPr="00592227">
        <w:t xml:space="preserve">éghajlati (és földtani) </w:t>
      </w:r>
      <w:r w:rsidR="00BA7331" w:rsidRPr="00592227">
        <w:t xml:space="preserve">sérülékenység </w:t>
      </w:r>
      <w:r w:rsidR="004644A5" w:rsidRPr="00592227">
        <w:t xml:space="preserve">(valamint a hatások) </w:t>
      </w:r>
      <w:r w:rsidR="00BA7331" w:rsidRPr="00592227">
        <w:t>várható változását</w:t>
      </w:r>
      <w:r w:rsidRPr="00592227">
        <w:t>.</w:t>
      </w:r>
    </w:p>
    <w:p w14:paraId="72A3D3EC" w14:textId="77777777" w:rsidR="00D80777" w:rsidRPr="00F92169" w:rsidRDefault="00D80777" w:rsidP="00F92169"/>
    <w:p w14:paraId="6123D57B" w14:textId="77777777" w:rsidR="00D80777" w:rsidRPr="006D5975" w:rsidRDefault="00D80777" w:rsidP="006D5975">
      <w:pPr>
        <w:pStyle w:val="Cmsor2"/>
      </w:pPr>
      <w:bookmarkStart w:id="3" w:name="_Toc147484186"/>
      <w:r w:rsidRPr="006D5975">
        <w:t>1.2 Értékelő tanulmány célja, elérendő eredmények</w:t>
      </w:r>
      <w:bookmarkEnd w:id="3"/>
    </w:p>
    <w:p w14:paraId="3812FEB4" w14:textId="77777777" w:rsidR="00D80777" w:rsidRPr="00592227" w:rsidRDefault="00D80777" w:rsidP="00D80777">
      <w:pPr>
        <w:rPr>
          <w:color w:val="000000"/>
        </w:rPr>
      </w:pPr>
      <w:r w:rsidRPr="00592227">
        <w:t>Eredményként komplex éghajlat-földtan specifikus szakmai javaslatokat kívánunk megfogalmazni ahhoz, hogy milyen adatok és tematikus térképek integrálása lenne javasolható a Nemzeti Alkalmazkodási Térinformatikai Rendszerbe (NATéR</w:t>
      </w:r>
      <w:r w:rsidRPr="00592227">
        <w:rPr>
          <w:rStyle w:val="Lbjegyzet-hivatkozs"/>
        </w:rPr>
        <w:footnoteReference w:id="1"/>
      </w:r>
      <w:r w:rsidR="00877B4B" w:rsidRPr="00592227">
        <w:t>) a hazai</w:t>
      </w:r>
      <w:r w:rsidRPr="00592227">
        <w:t xml:space="preserve"> energetikai infrastruktúra </w:t>
      </w:r>
      <w:r w:rsidR="00035541" w:rsidRPr="00592227">
        <w:t xml:space="preserve">egyes rendszereinek </w:t>
      </w:r>
      <w:r w:rsidRPr="00592227">
        <w:t xml:space="preserve">alapállapotáról, továbbá az infrastruktúra klímabarát fejlesztése és az ellátásbiztonság növelése érdekében szükséges információkról. </w:t>
      </w:r>
      <w:r w:rsidR="00BA7331" w:rsidRPr="00592227">
        <w:t xml:space="preserve">Ezeket az adatokat, térképi állományokat elő is állítjuk. </w:t>
      </w:r>
      <w:r w:rsidRPr="00592227">
        <w:rPr>
          <w:color w:val="000000"/>
        </w:rPr>
        <w:t>A feladat keretében a szakmai partnerek b</w:t>
      </w:r>
      <w:r w:rsidR="00BA7331" w:rsidRPr="00592227">
        <w:rPr>
          <w:color w:val="000000"/>
        </w:rPr>
        <w:t>evonásával meghatározásra kerüln</w:t>
      </w:r>
      <w:r w:rsidRPr="00592227">
        <w:rPr>
          <w:color w:val="000000"/>
        </w:rPr>
        <w:t>ek az éghajlati és földtani sérülékenység</w:t>
      </w:r>
      <w:r w:rsidR="00BA7331" w:rsidRPr="00592227">
        <w:rPr>
          <w:color w:val="000000"/>
        </w:rPr>
        <w:t>-</w:t>
      </w:r>
      <w:r w:rsidRPr="00592227">
        <w:rPr>
          <w:color w:val="000000"/>
        </w:rPr>
        <w:t>vizsgálat kialakításához szükség</w:t>
      </w:r>
      <w:r w:rsidR="00877B4B" w:rsidRPr="00592227">
        <w:rPr>
          <w:color w:val="000000"/>
        </w:rPr>
        <w:t xml:space="preserve">es kitettségi, érzékenységi, </w:t>
      </w:r>
      <w:r w:rsidRPr="00592227">
        <w:rPr>
          <w:color w:val="000000"/>
        </w:rPr>
        <w:t>alkalmazkodóképességi</w:t>
      </w:r>
      <w:r w:rsidR="00BA7331" w:rsidRPr="00592227">
        <w:rPr>
          <w:color w:val="000000"/>
        </w:rPr>
        <w:t>, várható hatás és sérülékenységi</w:t>
      </w:r>
      <w:r w:rsidRPr="00592227">
        <w:rPr>
          <w:color w:val="000000"/>
        </w:rPr>
        <w:t xml:space="preserve"> indikátorok</w:t>
      </w:r>
      <w:r w:rsidR="004644A5" w:rsidRPr="00592227">
        <w:rPr>
          <w:color w:val="000000"/>
        </w:rPr>
        <w:t>, valamint adatállományok és térképi megjelenítéseik</w:t>
      </w:r>
      <w:r w:rsidRPr="00592227">
        <w:rPr>
          <w:color w:val="000000"/>
        </w:rPr>
        <w:t xml:space="preserve"> a kiválasztott energetikai </w:t>
      </w:r>
      <w:r w:rsidR="00877B4B" w:rsidRPr="00592227">
        <w:rPr>
          <w:color w:val="000000"/>
        </w:rPr>
        <w:t xml:space="preserve">szállítási </w:t>
      </w:r>
      <w:r w:rsidRPr="00592227">
        <w:rPr>
          <w:color w:val="000000"/>
        </w:rPr>
        <w:t>rendszerekre, rendszerelemekre.</w:t>
      </w:r>
    </w:p>
    <w:p w14:paraId="3E052FE9" w14:textId="77777777" w:rsidR="00BA7331" w:rsidRPr="00592227" w:rsidRDefault="004644A5" w:rsidP="00D80777">
      <w:pPr>
        <w:rPr>
          <w:color w:val="000000"/>
        </w:rPr>
      </w:pPr>
      <w:r w:rsidRPr="00592227">
        <w:rPr>
          <w:color w:val="000000"/>
        </w:rPr>
        <w:t>A tanulmány f</w:t>
      </w:r>
      <w:r w:rsidR="00BA7331" w:rsidRPr="00592227">
        <w:rPr>
          <w:color w:val="000000"/>
        </w:rPr>
        <w:t>ontos célkitűzés</w:t>
      </w:r>
      <w:r w:rsidR="00FE2B0E" w:rsidRPr="00592227">
        <w:rPr>
          <w:color w:val="000000"/>
        </w:rPr>
        <w:t>e</w:t>
      </w:r>
      <w:r w:rsidR="00BA7331" w:rsidRPr="00592227">
        <w:rPr>
          <w:color w:val="000000"/>
        </w:rPr>
        <w:t xml:space="preserve"> még a projekt jelen munkacsomagjában </w:t>
      </w:r>
      <w:r w:rsidRPr="00592227">
        <w:rPr>
          <w:color w:val="000000"/>
        </w:rPr>
        <w:t xml:space="preserve">és munkarészeiben </w:t>
      </w:r>
      <w:r w:rsidR="00BA7331" w:rsidRPr="00592227">
        <w:rPr>
          <w:color w:val="000000"/>
        </w:rPr>
        <w:t>az elvégzett munka és fő lépéseinek összefoglalása is.</w:t>
      </w:r>
    </w:p>
    <w:p w14:paraId="0E27B00A" w14:textId="77777777" w:rsidR="00D80777" w:rsidRPr="00592227" w:rsidRDefault="00D80777" w:rsidP="00D80777">
      <w:pPr>
        <w:rPr>
          <w:color w:val="000000"/>
        </w:rPr>
      </w:pPr>
    </w:p>
    <w:p w14:paraId="60061E4C" w14:textId="77777777" w:rsidR="0037613F" w:rsidRPr="00592227" w:rsidRDefault="0037613F">
      <w:pPr>
        <w:widowControl/>
        <w:spacing w:after="160" w:line="259" w:lineRule="auto"/>
        <w:ind w:firstLine="0"/>
        <w:jc w:val="left"/>
        <w:rPr>
          <w:rFonts w:eastAsiaTheme="majorEastAsia"/>
          <w:color w:val="2E74B5" w:themeColor="accent1" w:themeShade="BF"/>
          <w:sz w:val="28"/>
          <w:szCs w:val="32"/>
        </w:rPr>
      </w:pPr>
      <w:r w:rsidRPr="00592227">
        <w:br w:type="page"/>
      </w:r>
    </w:p>
    <w:p w14:paraId="2D9BECF4" w14:textId="77777777" w:rsidR="00D80777" w:rsidRPr="00592227" w:rsidRDefault="00D80777" w:rsidP="006D5975">
      <w:pPr>
        <w:pStyle w:val="Cmsor1"/>
      </w:pPr>
      <w:bookmarkStart w:id="4" w:name="_Toc147484187"/>
      <w:r w:rsidRPr="00592227">
        <w:lastRenderedPageBreak/>
        <w:t>2. Összefoglalás</w:t>
      </w:r>
      <w:bookmarkEnd w:id="4"/>
    </w:p>
    <w:p w14:paraId="2C581FE8" w14:textId="77777777" w:rsidR="00035541" w:rsidRPr="00F92169" w:rsidRDefault="0037613F" w:rsidP="00EE63C8">
      <w:pPr>
        <w:ind w:firstLine="708"/>
        <w:rPr>
          <w:szCs w:val="24"/>
        </w:rPr>
      </w:pPr>
      <w:r w:rsidRPr="00F92169">
        <w:rPr>
          <w:color w:val="000000" w:themeColor="text1"/>
          <w:szCs w:val="24"/>
        </w:rPr>
        <w:t>A k</w:t>
      </w:r>
      <w:r w:rsidR="00035541" w:rsidRPr="00F92169">
        <w:rPr>
          <w:color w:val="000000" w:themeColor="text1"/>
          <w:szCs w:val="24"/>
        </w:rPr>
        <w:t>ritikus energetikai infrastruktúra elemek (villamos energia, gáz, távhő rendszerek) éghajlati és földtani sérülékenységének értékelése című projekt jelen 2. munkacsomagja foglalkozott több munkarészben a hazai en</w:t>
      </w:r>
      <w:r w:rsidR="00241F6D" w:rsidRPr="00F92169">
        <w:rPr>
          <w:color w:val="000000" w:themeColor="text1"/>
          <w:szCs w:val="24"/>
        </w:rPr>
        <w:t>ergetikai rendszerek közül négy</w:t>
      </w:r>
      <w:r w:rsidR="00035541" w:rsidRPr="00F92169">
        <w:rPr>
          <w:color w:val="000000" w:themeColor="text1"/>
          <w:szCs w:val="24"/>
        </w:rPr>
        <w:t xml:space="preserve"> kiválasztott </w:t>
      </w:r>
      <w:r w:rsidR="00035541" w:rsidRPr="00F92169">
        <w:rPr>
          <w:szCs w:val="24"/>
        </w:rPr>
        <w:t>rendszer és elemeinek (a nagynyomású földgázhálózat és felszíni rendszerelemei, a nagy hőkiadású távhőkörzetek, nagyfeszültségű átviteli hálózat vezetékszakaszai) éghajlati és földtani sérülékenységének vizsgálatával</w:t>
      </w:r>
      <w:r w:rsidR="00EB3E37" w:rsidRPr="00F92169">
        <w:rPr>
          <w:szCs w:val="24"/>
        </w:rPr>
        <w:t xml:space="preserve"> (1. táblázat)</w:t>
      </w:r>
      <w:r w:rsidR="00035541" w:rsidRPr="00F92169">
        <w:rPr>
          <w:szCs w:val="24"/>
        </w:rPr>
        <w:t>.</w:t>
      </w:r>
      <w:r w:rsidR="00847B6C" w:rsidRPr="00F92169">
        <w:rPr>
          <w:szCs w:val="24"/>
        </w:rPr>
        <w:t xml:space="preserve"> </w:t>
      </w:r>
      <w:r w:rsidR="00094A66" w:rsidRPr="00F92169">
        <w:rPr>
          <w:szCs w:val="24"/>
        </w:rPr>
        <w:t>A kiválasztás során szempont volt, hogy felszíni és felszín alatti energetikai rendszerek és elemeik is szerepeljenek a vizsgálatban.</w:t>
      </w:r>
    </w:p>
    <w:p w14:paraId="24241F33" w14:textId="77777777" w:rsidR="00035541" w:rsidRPr="00F92169" w:rsidRDefault="00035541" w:rsidP="00094A66">
      <w:pPr>
        <w:ind w:firstLine="708"/>
        <w:rPr>
          <w:szCs w:val="24"/>
        </w:rPr>
      </w:pPr>
      <w:r w:rsidRPr="00F92169">
        <w:rPr>
          <w:szCs w:val="24"/>
        </w:rPr>
        <w:t xml:space="preserve">Elsőként elkészült az a </w:t>
      </w:r>
      <w:r w:rsidR="00241F6D" w:rsidRPr="00F92169">
        <w:rPr>
          <w:szCs w:val="24"/>
        </w:rPr>
        <w:t xml:space="preserve">80 oldalas </w:t>
      </w:r>
      <w:r w:rsidRPr="00F92169">
        <w:rPr>
          <w:szCs w:val="24"/>
        </w:rPr>
        <w:t xml:space="preserve">módszertani tanulmány, amely többek közt a szakirodalmi megalapozást, az egyes rendszerek általános és térbeli bemutatását, a vizsgálatok logikai kereteinek (hatásláncok) kialakítását, a </w:t>
      </w:r>
      <w:r w:rsidR="00EE63C8" w:rsidRPr="00F92169">
        <w:rPr>
          <w:szCs w:val="24"/>
        </w:rPr>
        <w:t>különféle</w:t>
      </w:r>
      <w:r w:rsidR="0037613F" w:rsidRPr="00F92169">
        <w:rPr>
          <w:szCs w:val="24"/>
        </w:rPr>
        <w:t>,</w:t>
      </w:r>
      <w:r w:rsidR="00EE63C8" w:rsidRPr="00F92169">
        <w:rPr>
          <w:szCs w:val="24"/>
        </w:rPr>
        <w:t xml:space="preserve"> </w:t>
      </w:r>
      <w:r w:rsidR="0037613F" w:rsidRPr="00F92169">
        <w:rPr>
          <w:szCs w:val="24"/>
        </w:rPr>
        <w:t xml:space="preserve">az éghajlati sérülékenység-vizsgálatokban gyakran alkalmazott </w:t>
      </w:r>
      <w:r w:rsidR="00EE63C8" w:rsidRPr="00F92169">
        <w:rPr>
          <w:szCs w:val="24"/>
        </w:rPr>
        <w:t xml:space="preserve">CIVAS-modell alapján kialakított </w:t>
      </w:r>
      <w:r w:rsidRPr="00F92169">
        <w:rPr>
          <w:szCs w:val="24"/>
        </w:rPr>
        <w:t>mutatók és a háromosztatú besorolások (jelzőlámpa besorolás) képzésének módszereit tartalmazta.</w:t>
      </w:r>
    </w:p>
    <w:p w14:paraId="5B9BAB6A" w14:textId="77777777" w:rsidR="00035541" w:rsidRPr="00F92169" w:rsidRDefault="00035541" w:rsidP="00EE63C8">
      <w:pPr>
        <w:ind w:firstLine="708"/>
        <w:rPr>
          <w:szCs w:val="24"/>
        </w:rPr>
      </w:pPr>
      <w:r w:rsidRPr="00F92169">
        <w:rPr>
          <w:szCs w:val="24"/>
        </w:rPr>
        <w:t>Ezzel párhuzamosan készült el egy új, előremutató technológia</w:t>
      </w:r>
      <w:r w:rsidR="00EE63C8" w:rsidRPr="00F92169">
        <w:rPr>
          <w:szCs w:val="24"/>
        </w:rPr>
        <w:t>,</w:t>
      </w:r>
      <w:r w:rsidRPr="00F92169">
        <w:rPr>
          <w:szCs w:val="24"/>
        </w:rPr>
        <w:t xml:space="preserve"> a műholdradar-</w:t>
      </w:r>
      <w:proofErr w:type="spellStart"/>
      <w:r w:rsidRPr="00F92169">
        <w:rPr>
          <w:szCs w:val="24"/>
        </w:rPr>
        <w:t>interferometria</w:t>
      </w:r>
      <w:proofErr w:type="spellEnd"/>
      <w:r w:rsidRPr="00F92169">
        <w:rPr>
          <w:szCs w:val="24"/>
        </w:rPr>
        <w:t xml:space="preserve"> (</w:t>
      </w:r>
      <w:proofErr w:type="spellStart"/>
      <w:r w:rsidRPr="00F92169">
        <w:rPr>
          <w:szCs w:val="24"/>
        </w:rPr>
        <w:t>InSAR</w:t>
      </w:r>
      <w:proofErr w:type="spellEnd"/>
      <w:r w:rsidRPr="00F92169">
        <w:rPr>
          <w:szCs w:val="24"/>
        </w:rPr>
        <w:t xml:space="preserve">) </w:t>
      </w:r>
      <w:r w:rsidR="00EE63C8" w:rsidRPr="00F92169">
        <w:rPr>
          <w:szCs w:val="24"/>
        </w:rPr>
        <w:t xml:space="preserve">többoldalú űrgeodéziai </w:t>
      </w:r>
      <w:r w:rsidRPr="00F92169">
        <w:rPr>
          <w:szCs w:val="24"/>
        </w:rPr>
        <w:t xml:space="preserve">alkalmazásának lehetőségeit és egy monitoring-rendszer kiépítésének jellemzőit, feltételeit, részleteit </w:t>
      </w:r>
      <w:r w:rsidR="00EE63C8" w:rsidRPr="00F92169">
        <w:rPr>
          <w:szCs w:val="24"/>
        </w:rPr>
        <w:t>mega</w:t>
      </w:r>
      <w:r w:rsidRPr="00F92169">
        <w:rPr>
          <w:szCs w:val="24"/>
        </w:rPr>
        <w:t>lapozó vizsgálat.</w:t>
      </w:r>
      <w:r w:rsidR="00EE63C8" w:rsidRPr="00F92169">
        <w:rPr>
          <w:szCs w:val="24"/>
        </w:rPr>
        <w:t xml:space="preserve"> Fókuszban a különféle energetikai termelő és szállító rendszerek és mozgásjelenségeik vizsgálati lehetőségei, előnyei, hátrányai, valamint a felszínmozgásos hazai folyamatok megfigyelhetősége, mérhetősége volt. Az </w:t>
      </w:r>
      <w:proofErr w:type="spellStart"/>
      <w:r w:rsidR="00EE63C8" w:rsidRPr="00F92169">
        <w:rPr>
          <w:szCs w:val="24"/>
        </w:rPr>
        <w:t>InSAR</w:t>
      </w:r>
      <w:proofErr w:type="spellEnd"/>
      <w:r w:rsidR="00EE63C8" w:rsidRPr="00F92169">
        <w:rPr>
          <w:szCs w:val="24"/>
        </w:rPr>
        <w:t xml:space="preserve"> technológia óriási előnye az időjárásfüggetlen folyamatos adatgyűjtés, hazánk teljes területének lefedettsége és a feldolgozások automatizálhatósága. A több évtizednyi műholdradar felvétel feldolgozásával egyértelműen</w:t>
      </w:r>
      <w:r w:rsidR="0037613F" w:rsidRPr="00F92169">
        <w:rPr>
          <w:szCs w:val="24"/>
        </w:rPr>
        <w:t xml:space="preserve"> </w:t>
      </w:r>
      <w:r w:rsidR="00FE2B0E" w:rsidRPr="00F92169">
        <w:rPr>
          <w:szCs w:val="24"/>
        </w:rPr>
        <w:t>(</w:t>
      </w:r>
      <w:r w:rsidR="0037613F" w:rsidRPr="00F92169">
        <w:rPr>
          <w:szCs w:val="24"/>
        </w:rPr>
        <w:t xml:space="preserve">bár néhány </w:t>
      </w:r>
      <w:r w:rsidR="00FE2B0E" w:rsidRPr="00F92169">
        <w:rPr>
          <w:szCs w:val="24"/>
        </w:rPr>
        <w:t xml:space="preserve">speciális </w:t>
      </w:r>
      <w:r w:rsidR="0037613F" w:rsidRPr="00F92169">
        <w:rPr>
          <w:szCs w:val="24"/>
        </w:rPr>
        <w:t>esetben korlátokkal</w:t>
      </w:r>
      <w:r w:rsidR="00FE2B0E" w:rsidRPr="00F92169">
        <w:rPr>
          <w:szCs w:val="24"/>
        </w:rPr>
        <w:t>)</w:t>
      </w:r>
      <w:r w:rsidR="00EE63C8" w:rsidRPr="00F92169">
        <w:rPr>
          <w:szCs w:val="24"/>
        </w:rPr>
        <w:t xml:space="preserve"> kimutathatóak az energetikai </w:t>
      </w:r>
      <w:r w:rsidR="00FE2B0E" w:rsidRPr="00F92169">
        <w:rPr>
          <w:szCs w:val="24"/>
        </w:rPr>
        <w:t>infrastrukturális</w:t>
      </w:r>
      <w:r w:rsidR="00EE63C8" w:rsidRPr="00F92169">
        <w:rPr>
          <w:szCs w:val="24"/>
        </w:rPr>
        <w:t xml:space="preserve"> elemek károsodásai, földtani sérülékenysége. Milliméteres skálán mozogva mérhető a megfigyelt objektumok stabilitása, és ezzel párhuzamosan meghatározhatóak az üzembiztonságot veszélyeztető elemek, szerkezetek.</w:t>
      </w:r>
    </w:p>
    <w:p w14:paraId="4B94D5A5" w14:textId="77777777" w:rsidR="002F63AA" w:rsidRPr="00F92169" w:rsidRDefault="002F63AA" w:rsidP="00EE63C8">
      <w:pPr>
        <w:ind w:firstLine="708"/>
        <w:rPr>
          <w:color w:val="000000" w:themeColor="text1"/>
          <w:szCs w:val="24"/>
        </w:rPr>
      </w:pPr>
    </w:p>
    <w:tbl>
      <w:tblPr>
        <w:tblW w:w="9202" w:type="dxa"/>
        <w:jc w:val="center"/>
        <w:tblCellMar>
          <w:left w:w="0" w:type="dxa"/>
          <w:right w:w="0" w:type="dxa"/>
        </w:tblCellMar>
        <w:tblLook w:val="0600" w:firstRow="0" w:lastRow="0" w:firstColumn="0" w:lastColumn="0" w:noHBand="1" w:noVBand="1"/>
      </w:tblPr>
      <w:tblGrid>
        <w:gridCol w:w="1286"/>
        <w:gridCol w:w="2678"/>
        <w:gridCol w:w="2694"/>
        <w:gridCol w:w="2544"/>
      </w:tblGrid>
      <w:tr w:rsidR="00EE63C8" w:rsidRPr="006D5975" w14:paraId="4CFA2CDC" w14:textId="77777777" w:rsidTr="006D5975">
        <w:trPr>
          <w:trHeight w:val="57"/>
          <w:jc w:val="center"/>
        </w:trPr>
        <w:tc>
          <w:tcPr>
            <w:tcW w:w="1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EEC669" w14:textId="77777777" w:rsidR="00EE63C8" w:rsidRPr="006D5975" w:rsidRDefault="00EE63C8" w:rsidP="00F06E36">
            <w:pPr>
              <w:ind w:firstLine="0"/>
              <w:jc w:val="center"/>
              <w:rPr>
                <w:color w:val="000000"/>
                <w:sz w:val="20"/>
              </w:rPr>
            </w:pPr>
          </w:p>
        </w:tc>
        <w:tc>
          <w:tcPr>
            <w:tcW w:w="2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C1AE77" w14:textId="77777777" w:rsidR="00EE63C8" w:rsidRPr="006D5975" w:rsidRDefault="00EE63C8" w:rsidP="00F06E36">
            <w:pPr>
              <w:ind w:firstLine="0"/>
              <w:jc w:val="center"/>
              <w:rPr>
                <w:color w:val="000000"/>
                <w:sz w:val="20"/>
              </w:rPr>
            </w:pPr>
            <w:r w:rsidRPr="006D5975">
              <w:rPr>
                <w:b/>
                <w:bCs/>
                <w:color w:val="000000"/>
                <w:sz w:val="20"/>
              </w:rPr>
              <w:t>Vonalas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E1E641" w14:textId="77777777" w:rsidR="00EE63C8" w:rsidRPr="006D5975" w:rsidRDefault="00EE63C8" w:rsidP="00F06E36">
            <w:pPr>
              <w:ind w:firstLine="0"/>
              <w:jc w:val="center"/>
              <w:rPr>
                <w:color w:val="000000"/>
                <w:sz w:val="20"/>
              </w:rPr>
            </w:pPr>
            <w:r w:rsidRPr="006D5975">
              <w:rPr>
                <w:b/>
                <w:bCs/>
                <w:color w:val="000000"/>
                <w:sz w:val="20"/>
              </w:rPr>
              <w:t>Pontszerű</w:t>
            </w:r>
          </w:p>
        </w:tc>
        <w:tc>
          <w:tcPr>
            <w:tcW w:w="2544"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14:paraId="3656B9AB" w14:textId="77777777" w:rsidR="00EE63C8" w:rsidRPr="006D5975" w:rsidRDefault="00EE63C8" w:rsidP="00EE63C8">
            <w:pPr>
              <w:ind w:firstLine="0"/>
              <w:rPr>
                <w:color w:val="000000"/>
                <w:sz w:val="20"/>
              </w:rPr>
            </w:pPr>
          </w:p>
        </w:tc>
      </w:tr>
      <w:tr w:rsidR="00EE63C8" w:rsidRPr="006D5975" w14:paraId="3DDB80FD" w14:textId="77777777" w:rsidTr="006D5975">
        <w:trPr>
          <w:trHeight w:val="57"/>
          <w:jc w:val="center"/>
        </w:trPr>
        <w:tc>
          <w:tcPr>
            <w:tcW w:w="1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5735B9" w14:textId="77777777" w:rsidR="00EE63C8" w:rsidRPr="006D5975" w:rsidRDefault="00EE63C8" w:rsidP="00F06E36">
            <w:pPr>
              <w:ind w:firstLine="0"/>
              <w:jc w:val="center"/>
              <w:rPr>
                <w:color w:val="000000"/>
                <w:sz w:val="20"/>
              </w:rPr>
            </w:pPr>
            <w:r w:rsidRPr="006D5975">
              <w:rPr>
                <w:b/>
                <w:bCs/>
                <w:color w:val="000000"/>
                <w:sz w:val="20"/>
              </w:rPr>
              <w:t>Felszíni</w:t>
            </w:r>
          </w:p>
        </w:tc>
        <w:tc>
          <w:tcPr>
            <w:tcW w:w="2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D28F89" w14:textId="77777777" w:rsidR="00EE63C8" w:rsidRPr="006D5975" w:rsidRDefault="00EE63C8" w:rsidP="00F06E36">
            <w:pPr>
              <w:ind w:firstLine="0"/>
              <w:jc w:val="center"/>
              <w:rPr>
                <w:color w:val="000000"/>
                <w:sz w:val="20"/>
              </w:rPr>
            </w:pPr>
            <w:r w:rsidRPr="006D5975">
              <w:rPr>
                <w:color w:val="000000"/>
                <w:sz w:val="20"/>
              </w:rPr>
              <w:t>Nagyfeszültségű</w:t>
            </w:r>
          </w:p>
          <w:p w14:paraId="193CDA6F" w14:textId="71134F43" w:rsidR="00EE63C8" w:rsidRPr="006D5975" w:rsidRDefault="00EE63C8" w:rsidP="006D5975">
            <w:pPr>
              <w:ind w:firstLine="0"/>
              <w:jc w:val="center"/>
              <w:rPr>
                <w:color w:val="000000"/>
                <w:sz w:val="20"/>
              </w:rPr>
            </w:pPr>
            <w:r w:rsidRPr="006D5975">
              <w:rPr>
                <w:color w:val="000000"/>
                <w:sz w:val="20"/>
              </w:rPr>
              <w:t>átviteli hálózat</w:t>
            </w:r>
            <w:r w:rsidR="006D5975">
              <w:rPr>
                <w:color w:val="000000"/>
                <w:sz w:val="20"/>
              </w:rPr>
              <w:t xml:space="preserve"> </w:t>
            </w:r>
            <w:r w:rsidR="00F06E36" w:rsidRPr="006D5975">
              <w:rPr>
                <w:color w:val="000000"/>
                <w:sz w:val="20"/>
              </w:rPr>
              <w:t>(MAVIR)</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75DFB" w14:textId="77777777" w:rsidR="00EE63C8" w:rsidRPr="006D5975" w:rsidRDefault="00EE63C8" w:rsidP="00F06E36">
            <w:pPr>
              <w:ind w:firstLine="0"/>
              <w:jc w:val="center"/>
              <w:rPr>
                <w:color w:val="000000"/>
                <w:sz w:val="20"/>
              </w:rPr>
            </w:pPr>
            <w:r w:rsidRPr="006D5975">
              <w:rPr>
                <w:color w:val="000000"/>
                <w:sz w:val="20"/>
              </w:rPr>
              <w:t>Nagynyomású földgázhálózat felszíni létesítményei</w:t>
            </w:r>
            <w:r w:rsidR="00F06E36" w:rsidRPr="006D5975">
              <w:rPr>
                <w:color w:val="000000"/>
                <w:sz w:val="20"/>
              </w:rPr>
              <w:t xml:space="preserve"> (FGSZ)</w:t>
            </w:r>
          </w:p>
        </w:tc>
        <w:tc>
          <w:tcPr>
            <w:tcW w:w="2544" w:type="dxa"/>
            <w:vMerge w:val="restart"/>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546D3808" w14:textId="77777777" w:rsidR="00EE63C8" w:rsidRPr="006D5975" w:rsidRDefault="00EE63C8" w:rsidP="0093215F">
            <w:pPr>
              <w:ind w:firstLine="0"/>
              <w:rPr>
                <w:color w:val="000000"/>
                <w:sz w:val="20"/>
              </w:rPr>
            </w:pPr>
            <w:r w:rsidRPr="006D5975">
              <w:rPr>
                <w:color w:val="000000"/>
                <w:sz w:val="20"/>
              </w:rPr>
              <w:t>Nagy hőkiadású</w:t>
            </w:r>
          </w:p>
          <w:p w14:paraId="15AEBF0D" w14:textId="77777777" w:rsidR="00F06E36" w:rsidRPr="006D5975" w:rsidRDefault="00EE63C8" w:rsidP="0093215F">
            <w:pPr>
              <w:ind w:firstLine="0"/>
              <w:rPr>
                <w:color w:val="000000"/>
                <w:sz w:val="20"/>
              </w:rPr>
            </w:pPr>
            <w:r w:rsidRPr="006D5975">
              <w:rPr>
                <w:color w:val="000000"/>
                <w:sz w:val="20"/>
              </w:rPr>
              <w:t>távhőkörzetek</w:t>
            </w:r>
          </w:p>
          <w:p w14:paraId="1480FC45" w14:textId="77777777" w:rsidR="00F06E36" w:rsidRPr="006D5975" w:rsidRDefault="00EE63C8" w:rsidP="0093215F">
            <w:pPr>
              <w:ind w:firstLine="0"/>
              <w:rPr>
                <w:color w:val="000000"/>
                <w:sz w:val="20"/>
              </w:rPr>
            </w:pPr>
            <w:r w:rsidRPr="006D5975">
              <w:rPr>
                <w:color w:val="000000"/>
                <w:sz w:val="20"/>
              </w:rPr>
              <w:t>(távhővezetékei)</w:t>
            </w:r>
          </w:p>
          <w:p w14:paraId="3466F9BA" w14:textId="77777777" w:rsidR="00EE63C8" w:rsidRPr="006D5975" w:rsidRDefault="00F06E36" w:rsidP="0093215F">
            <w:pPr>
              <w:ind w:firstLine="0"/>
              <w:rPr>
                <w:color w:val="000000"/>
                <w:sz w:val="20"/>
              </w:rPr>
            </w:pPr>
            <w:r w:rsidRPr="006D5975">
              <w:rPr>
                <w:color w:val="000000"/>
                <w:sz w:val="20"/>
              </w:rPr>
              <w:t>(</w:t>
            </w:r>
            <w:proofErr w:type="spellStart"/>
            <w:r w:rsidRPr="006D5975">
              <w:rPr>
                <w:color w:val="000000"/>
                <w:sz w:val="20"/>
              </w:rPr>
              <w:t>MATÁSzSz</w:t>
            </w:r>
            <w:proofErr w:type="spellEnd"/>
            <w:r w:rsidR="00D71FA0" w:rsidRPr="006D5975">
              <w:rPr>
                <w:color w:val="000000"/>
                <w:sz w:val="20"/>
              </w:rPr>
              <w:t>)</w:t>
            </w:r>
          </w:p>
        </w:tc>
      </w:tr>
      <w:tr w:rsidR="00EE63C8" w:rsidRPr="006D5975" w14:paraId="5B162BCF" w14:textId="77777777" w:rsidTr="006D5975">
        <w:trPr>
          <w:trHeight w:val="57"/>
          <w:jc w:val="center"/>
        </w:trPr>
        <w:tc>
          <w:tcPr>
            <w:tcW w:w="1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A297FE" w14:textId="77777777" w:rsidR="00EE63C8" w:rsidRPr="006D5975" w:rsidRDefault="00EE63C8" w:rsidP="00F06E36">
            <w:pPr>
              <w:ind w:firstLine="0"/>
              <w:jc w:val="center"/>
              <w:rPr>
                <w:color w:val="000000"/>
                <w:sz w:val="20"/>
              </w:rPr>
            </w:pPr>
            <w:r w:rsidRPr="006D5975">
              <w:rPr>
                <w:b/>
                <w:bCs/>
                <w:color w:val="000000"/>
                <w:sz w:val="20"/>
              </w:rPr>
              <w:t>Felszín alatti</w:t>
            </w:r>
          </w:p>
        </w:tc>
        <w:tc>
          <w:tcPr>
            <w:tcW w:w="2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7A6438" w14:textId="77777777" w:rsidR="00F06E36" w:rsidRPr="006D5975" w:rsidRDefault="00EE63C8" w:rsidP="00F06E36">
            <w:pPr>
              <w:ind w:firstLine="0"/>
              <w:jc w:val="center"/>
              <w:rPr>
                <w:color w:val="000000"/>
                <w:sz w:val="20"/>
              </w:rPr>
            </w:pPr>
            <w:r w:rsidRPr="006D5975">
              <w:rPr>
                <w:color w:val="000000"/>
                <w:sz w:val="20"/>
              </w:rPr>
              <w:t>Nagynyomású földgázhálózat</w:t>
            </w:r>
          </w:p>
          <w:p w14:paraId="34F21E8B" w14:textId="77777777" w:rsidR="00EE63C8" w:rsidRPr="006D5975" w:rsidRDefault="00F06E36" w:rsidP="00F06E36">
            <w:pPr>
              <w:ind w:firstLine="0"/>
              <w:jc w:val="center"/>
              <w:rPr>
                <w:color w:val="000000"/>
                <w:sz w:val="20"/>
              </w:rPr>
            </w:pPr>
            <w:r w:rsidRPr="006D5975">
              <w:rPr>
                <w:color w:val="000000"/>
                <w:sz w:val="20"/>
              </w:rPr>
              <w:t>(FGSZ)</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B0818" w14:textId="77777777" w:rsidR="00EE63C8" w:rsidRPr="006D5975" w:rsidRDefault="00EE63C8" w:rsidP="00F06E36">
            <w:pPr>
              <w:ind w:firstLine="0"/>
              <w:jc w:val="center"/>
              <w:rPr>
                <w:color w:val="000000"/>
                <w:sz w:val="20"/>
              </w:rPr>
            </w:pPr>
          </w:p>
        </w:tc>
        <w:tc>
          <w:tcPr>
            <w:tcW w:w="2544" w:type="dxa"/>
            <w:vMerge/>
            <w:tcBorders>
              <w:top w:val="nil"/>
              <w:left w:val="single" w:sz="4" w:space="0" w:color="000000"/>
              <w:bottom w:val="nil"/>
              <w:right w:val="nil"/>
            </w:tcBorders>
            <w:vAlign w:val="center"/>
            <w:hideMark/>
          </w:tcPr>
          <w:p w14:paraId="049F31CB" w14:textId="77777777" w:rsidR="00EE63C8" w:rsidRPr="006D5975" w:rsidRDefault="00EE63C8" w:rsidP="00EE63C8">
            <w:pPr>
              <w:ind w:firstLine="0"/>
              <w:rPr>
                <w:color w:val="000000"/>
                <w:sz w:val="20"/>
              </w:rPr>
            </w:pPr>
          </w:p>
        </w:tc>
      </w:tr>
    </w:tbl>
    <w:p w14:paraId="1F3F5B65" w14:textId="77777777" w:rsidR="00EB300D" w:rsidRPr="006D5975" w:rsidRDefault="00F06E36" w:rsidP="003C305A">
      <w:pPr>
        <w:pStyle w:val="Listaszerbekezds"/>
        <w:numPr>
          <w:ilvl w:val="0"/>
          <w:numId w:val="9"/>
        </w:numPr>
        <w:jc w:val="center"/>
        <w:rPr>
          <w:i/>
          <w:color w:val="000000"/>
          <w:sz w:val="20"/>
        </w:rPr>
      </w:pPr>
      <w:r w:rsidRPr="006D5975">
        <w:rPr>
          <w:b/>
          <w:i/>
          <w:color w:val="000000"/>
          <w:sz w:val="20"/>
        </w:rPr>
        <w:t>táblázat</w:t>
      </w:r>
      <w:r w:rsidRPr="006D5975">
        <w:rPr>
          <w:i/>
          <w:color w:val="000000"/>
          <w:sz w:val="20"/>
        </w:rPr>
        <w:t xml:space="preserve"> A vizsgált energetikai rendszerek</w:t>
      </w:r>
      <w:r w:rsidR="0040710A" w:rsidRPr="006D5975">
        <w:rPr>
          <w:i/>
          <w:color w:val="000000"/>
          <w:sz w:val="20"/>
        </w:rPr>
        <w:t xml:space="preserve"> alapjellemzői</w:t>
      </w:r>
    </w:p>
    <w:p w14:paraId="53128261" w14:textId="77777777" w:rsidR="00EE63C8" w:rsidRPr="00F92169" w:rsidRDefault="00EE63C8" w:rsidP="00EB300D">
      <w:pPr>
        <w:ind w:firstLine="0"/>
        <w:rPr>
          <w:color w:val="000000"/>
          <w:szCs w:val="24"/>
        </w:rPr>
      </w:pPr>
    </w:p>
    <w:p w14:paraId="33911E8F" w14:textId="77777777" w:rsidR="0093215F" w:rsidRPr="00F92169" w:rsidRDefault="00EB3E37" w:rsidP="00EB3E37">
      <w:pPr>
        <w:ind w:firstLine="708"/>
        <w:rPr>
          <w:szCs w:val="24"/>
        </w:rPr>
      </w:pPr>
      <w:r w:rsidRPr="00F92169">
        <w:rPr>
          <w:szCs w:val="24"/>
        </w:rPr>
        <w:t xml:space="preserve">A klimatológiai vizsgálat és elemzés kidolgozása során a következő főbb lépések mentén haladtunk. A módszertani tanulmányban került rögzítésre a nemzetközi szakirodalom összegyűjtése és áttekintése, amely elsősorban az energetikai infrastruktúra élettartamának és a kapacitás időszakos vagy tartós csökkenését vizsgálta az éghajlatváltozás extrém eseményeinek tükrében. Majd indikátorlistát állítottunk össze, amely során 32, hazánkban potenciálisan megjelenő és káros, illetve jelentős hatással bíró indexet definiáltunk. A Duna-vízgyűjtőjére elérhető regionális klímamodellek feltérképezése újabb lépés volt, melyeknél figyelembe vettük a modellek függetlenségét (elkerülendő a két azonos családból származó modell várhatóan hasonló eredménye), az összes változó elérhetőségét és a szükséges két jövőbeli forgatókönyv meglétét.  Az indikátorlista véglegesítése előtt több lépcsőben szükség volt az egyes szakterületek hazai képviselőit is bevonni, mellyel összeállt a villamosenergia átviteli hálózatára vett 9, a nagynyomású földgázvezetékekre és felszíni létesítményire tekintett 3-3, a kiválasztott távhőkörzetekre (és vezetékekre) ható legfőbb 5 éghajlati indikátor. Az adott infrastruktúra elemeinek vonatkozásában várható hatás nagysága szerinti súlyozás meghatározása következett az egyes indikátorokra, majd ez alapján a komplex éghajlati kitettségek számítása. A hazánkra rácspontonként tekintett, legfeljebb 10 szimuláció alapján vett minimum-medián-maximum változás megjelenítéséhez szükséges volt azonos színskála és </w:t>
      </w:r>
      <w:r w:rsidRPr="00F92169">
        <w:rPr>
          <w:szCs w:val="24"/>
        </w:rPr>
        <w:lastRenderedPageBreak/>
        <w:t>értékhatárok megadására is.</w:t>
      </w:r>
      <w:r w:rsidR="00094A66" w:rsidRPr="00F92169">
        <w:rPr>
          <w:szCs w:val="24"/>
        </w:rPr>
        <w:t xml:space="preserve"> </w:t>
      </w:r>
    </w:p>
    <w:p w14:paraId="5A05E3A9" w14:textId="77777777" w:rsidR="00094A66" w:rsidRPr="00F92169" w:rsidRDefault="00094A66" w:rsidP="00EB3E37">
      <w:pPr>
        <w:ind w:firstLine="708"/>
        <w:rPr>
          <w:szCs w:val="24"/>
        </w:rPr>
      </w:pPr>
      <w:r w:rsidRPr="00F92169">
        <w:rPr>
          <w:szCs w:val="24"/>
        </w:rPr>
        <w:t>Jól látszik, hogy az összes indikátor esetén a 2071-2100 időszakra és a pesszimista forgatókönyv (RCP 8.5) szerint várhatjuk a legjelentősebb és egyben legkritikusabb változásokat, míg minden esetben a közelebbi időszakban számíthatunk az 1981-2010 referenciaidőszaktól vett kisebb eltérésekre. A két kibocsátási forgatókönyv között a század végére jelentkezik a legnagyobb különbség is. Természetesen bármely indikátor esetében az országon belül jelentősebb eltérések is előfordulhatnak</w:t>
      </w:r>
      <w:r w:rsidR="00531129" w:rsidRPr="00F92169">
        <w:rPr>
          <w:szCs w:val="24"/>
        </w:rPr>
        <w:t>.</w:t>
      </w:r>
    </w:p>
    <w:p w14:paraId="3D369A81" w14:textId="77777777" w:rsidR="00EE63C8" w:rsidRPr="00F92169" w:rsidRDefault="0093215F" w:rsidP="00094A66">
      <w:pPr>
        <w:rPr>
          <w:szCs w:val="24"/>
        </w:rPr>
      </w:pPr>
      <w:r w:rsidRPr="00F92169">
        <w:rPr>
          <w:szCs w:val="24"/>
        </w:rPr>
        <w:t>A projekt keretében került kidolgozásra újszerű megközelítésben az éghajlati mellett a kritikus energetikai infrastruktúra földtani sérülékeny</w:t>
      </w:r>
      <w:r w:rsidR="00EB3E37" w:rsidRPr="00F92169">
        <w:rPr>
          <w:szCs w:val="24"/>
        </w:rPr>
        <w:t>s</w:t>
      </w:r>
      <w:r w:rsidRPr="00F92169">
        <w:rPr>
          <w:szCs w:val="24"/>
        </w:rPr>
        <w:t xml:space="preserve">égének felmérésére kidolgozott módszertan, valamint az ehhez rendelkezésre álló informatikai és </w:t>
      </w:r>
      <w:proofErr w:type="spellStart"/>
      <w:r w:rsidRPr="00F92169">
        <w:rPr>
          <w:szCs w:val="24"/>
        </w:rPr>
        <w:t>geoadatrendszer</w:t>
      </w:r>
      <w:proofErr w:type="spellEnd"/>
      <w:r w:rsidRPr="00F92169">
        <w:rPr>
          <w:szCs w:val="24"/>
        </w:rPr>
        <w:t>. A klasszikus földtani veszélyforrások, mint pl. felszínmozgások mellett fontos szerepük van a hidrológiai, hidrogeológiai közegben jelentkező kockázati hatásoknak is. A tanulmányban a kritikus infrastruktúra földtani kitettségét és ezen tényezők által indukált hatásait tíz fő tematika alapján vizsgáltuk. A tíz fő analitikus adatállomány tartalmi elemei egy szakértői rendszer keretében a földtani veszélyeztetettség mértékére utaló súlyozott pontértéket kaptak. Az adatok együttes hatását mutató eredménytérkép mindezen analitikus értékek térinformatikai összegzése útján jött létre.</w:t>
      </w:r>
      <w:r w:rsidR="00847B6C" w:rsidRPr="00F92169">
        <w:rPr>
          <w:szCs w:val="24"/>
        </w:rPr>
        <w:t xml:space="preserve"> Ezek mellett a korábbi Magyar Állami Földtani Intézet (MÁFI) úgynevezett sekélyfúrási adatbázisának frissítése is megtörtént. A három kutatási </w:t>
      </w:r>
      <w:r w:rsidR="00531129" w:rsidRPr="00F92169">
        <w:rPr>
          <w:szCs w:val="24"/>
        </w:rPr>
        <w:t>al</w:t>
      </w:r>
      <w:r w:rsidR="00847B6C" w:rsidRPr="00F92169">
        <w:rPr>
          <w:szCs w:val="24"/>
        </w:rPr>
        <w:t xml:space="preserve">program több, mint 15.000 fúrás adatait tartalmazza. A sekélyfúrások adatbázisának frissítése az adatok ellenőrzését, az esetleges hiányok pótlását és egységesítését foglalta magába. További feladat volt a projekt keretében az ügynevezett felszínmozgás kataszter </w:t>
      </w:r>
      <w:r w:rsidR="00094A66" w:rsidRPr="00F92169">
        <w:rPr>
          <w:szCs w:val="24"/>
        </w:rPr>
        <w:t>frissítése és továbbfejlesztése is, amely</w:t>
      </w:r>
      <w:r w:rsidR="00847B6C" w:rsidRPr="00F92169">
        <w:rPr>
          <w:szCs w:val="24"/>
        </w:rPr>
        <w:t xml:space="preserve"> a kata</w:t>
      </w:r>
      <w:r w:rsidR="00094A66" w:rsidRPr="00F92169">
        <w:rPr>
          <w:szCs w:val="24"/>
        </w:rPr>
        <w:t>szter 2019 végi állapotát vette</w:t>
      </w:r>
      <w:r w:rsidR="00847B6C" w:rsidRPr="00F92169">
        <w:rPr>
          <w:szCs w:val="24"/>
        </w:rPr>
        <w:t xml:space="preserve"> alapul. Az adatbázis közel 2500 veszélyforrás esemény adatait tartalmazza, s az eseményeket 27 típusba sorolja. Az alapadatokra támaszkodva hat olyan feldolgozás készült, amelyek a veszélyforrás eseményekből tematikus csoportokat képeznek és domborzati, földtani tájegységekhez, ill. geológiai kifejlődésekhez kapcsolta azokat</w:t>
      </w:r>
      <w:r w:rsidR="00094A66" w:rsidRPr="00F92169">
        <w:rPr>
          <w:szCs w:val="24"/>
        </w:rPr>
        <w:t>.</w:t>
      </w:r>
    </w:p>
    <w:p w14:paraId="70A64C4B" w14:textId="77777777" w:rsidR="00234181" w:rsidRPr="00F92169" w:rsidRDefault="00234181" w:rsidP="00094A66">
      <w:pPr>
        <w:rPr>
          <w:szCs w:val="24"/>
        </w:rPr>
      </w:pPr>
      <w:r w:rsidRPr="00F92169">
        <w:rPr>
          <w:szCs w:val="24"/>
        </w:rPr>
        <w:t>Az utolsó nagy lépés az éghajlati, a földtani és a partnerek által biztosított energetikai és térinformatikai adatok adatbázisba rendezése, tisztítása és azokból új alapadatbázisok építése volt. Ebből képeztük</w:t>
      </w:r>
      <w:r w:rsidR="00511A56" w:rsidRPr="00F92169">
        <w:rPr>
          <w:szCs w:val="24"/>
        </w:rPr>
        <w:t xml:space="preserve"> az úgynevezett CIVAS éghajlati sérülékenységi modell logikai sémája alapján azokat a komplex indikátorokat, amelyek az egyes rendszerekre készült</w:t>
      </w:r>
      <w:r w:rsidR="00FE2B0E" w:rsidRPr="00F92169">
        <w:rPr>
          <w:szCs w:val="24"/>
        </w:rPr>
        <w:t xml:space="preserve"> hatásláncok alapján jelzik</w:t>
      </w:r>
      <w:r w:rsidR="00511A56" w:rsidRPr="00F92169">
        <w:rPr>
          <w:szCs w:val="24"/>
        </w:rPr>
        <w:t xml:space="preserve"> a rendszerelemek</w:t>
      </w:r>
      <w:r w:rsidR="00531129" w:rsidRPr="00F92169">
        <w:rPr>
          <w:szCs w:val="24"/>
        </w:rPr>
        <w:t xml:space="preserve"> </w:t>
      </w:r>
      <w:r w:rsidR="00511A56" w:rsidRPr="00F92169">
        <w:rPr>
          <w:szCs w:val="24"/>
        </w:rPr>
        <w:t xml:space="preserve">éghajlati és földtani kitettségét, a rendszerek érzékenységét és összességében a komplex hatásokat. Két rendszerre (felszíni földgázlétesítmények, távhőkörzetek) </w:t>
      </w:r>
      <w:r w:rsidR="00F97EB4" w:rsidRPr="00F92169">
        <w:rPr>
          <w:szCs w:val="24"/>
        </w:rPr>
        <w:t>készültek alkal</w:t>
      </w:r>
      <w:r w:rsidR="00511A56" w:rsidRPr="00F92169">
        <w:rPr>
          <w:szCs w:val="24"/>
        </w:rPr>
        <w:t>mazkodóképességi</w:t>
      </w:r>
      <w:r w:rsidR="00F97EB4" w:rsidRPr="00F92169">
        <w:rPr>
          <w:szCs w:val="24"/>
        </w:rPr>
        <w:t xml:space="preserve"> és komplex sérülékenységi indikátor</w:t>
      </w:r>
      <w:r w:rsidR="00943420" w:rsidRPr="00F92169">
        <w:rPr>
          <w:szCs w:val="24"/>
        </w:rPr>
        <w:t>ok</w:t>
      </w:r>
      <w:r w:rsidR="00F97EB4" w:rsidRPr="00F92169">
        <w:rPr>
          <w:szCs w:val="24"/>
        </w:rPr>
        <w:t xml:space="preserve"> is, mert itt kellő mennyiségű</w:t>
      </w:r>
      <w:r w:rsidR="00943420" w:rsidRPr="00F92169">
        <w:rPr>
          <w:szCs w:val="24"/>
        </w:rPr>
        <w:t xml:space="preserve"> és </w:t>
      </w:r>
      <w:r w:rsidR="00531129" w:rsidRPr="00F92169">
        <w:rPr>
          <w:szCs w:val="24"/>
        </w:rPr>
        <w:t>összetettségű</w:t>
      </w:r>
      <w:r w:rsidR="00F97EB4" w:rsidRPr="00F92169">
        <w:rPr>
          <w:szCs w:val="24"/>
        </w:rPr>
        <w:t xml:space="preserve"> alapadat állt rendelkezésünkre. A számítások egységesen (bár </w:t>
      </w:r>
      <w:proofErr w:type="spellStart"/>
      <w:r w:rsidR="00F97EB4" w:rsidRPr="00F92169">
        <w:rPr>
          <w:szCs w:val="24"/>
        </w:rPr>
        <w:t>tematikánként</w:t>
      </w:r>
      <w:proofErr w:type="spellEnd"/>
      <w:r w:rsidR="00F97EB4" w:rsidRPr="00F92169">
        <w:rPr>
          <w:szCs w:val="24"/>
        </w:rPr>
        <w:t xml:space="preserve"> eltérő metódusok alapján) a háromosztatú (úgynevezett jelzőlámpa) beosztással kerültek kiszámításra és térképi megjelenítésre.</w:t>
      </w:r>
      <w:r w:rsidR="00531129" w:rsidRPr="00F92169">
        <w:rPr>
          <w:szCs w:val="24"/>
        </w:rPr>
        <w:t xml:space="preserve"> Ezek az indikátorok és tematikus térképeik kerültek feltöltésre a NATÉR rendszerbe.</w:t>
      </w:r>
    </w:p>
    <w:p w14:paraId="05F92DC6" w14:textId="77777777" w:rsidR="00F97EB4" w:rsidRPr="00F92169" w:rsidRDefault="00F97EB4" w:rsidP="00094A66">
      <w:pPr>
        <w:rPr>
          <w:szCs w:val="24"/>
        </w:rPr>
      </w:pPr>
      <w:r w:rsidRPr="00F92169">
        <w:rPr>
          <w:szCs w:val="24"/>
        </w:rPr>
        <w:t>A nagynyomású földgáz-vezetékhálózat 276 vezetékszakaszára és 416 felszíni létesítményére, továbbá 29 nagy hőkiadású távhőkörzetre és az átviteli nagyfeszültségű hálózat 119 vezetékszakaszára készültek el a különféle (kitettségi, érzékenységi stb.</w:t>
      </w:r>
      <w:r w:rsidR="00531129" w:rsidRPr="00F92169">
        <w:rPr>
          <w:szCs w:val="24"/>
        </w:rPr>
        <w:t>)</w:t>
      </w:r>
      <w:r w:rsidRPr="00F92169">
        <w:rPr>
          <w:szCs w:val="24"/>
        </w:rPr>
        <w:t xml:space="preserve"> indikátorok. </w:t>
      </w:r>
      <w:r w:rsidR="007B6555" w:rsidRPr="00F92169">
        <w:rPr>
          <w:szCs w:val="24"/>
        </w:rPr>
        <w:t>Összesen 20 egyszerű és kombinált (négyes felosztású</w:t>
      </w:r>
      <w:r w:rsidR="00FE2B0E" w:rsidRPr="00F92169">
        <w:rPr>
          <w:szCs w:val="24"/>
        </w:rPr>
        <w:t>, jövőre vonatkozó</w:t>
      </w:r>
      <w:r w:rsidR="007B6555" w:rsidRPr="00F92169">
        <w:rPr>
          <w:szCs w:val="24"/>
        </w:rPr>
        <w:t>) tematikus térképen voltak megjeleníthetőek a különféle tematikák indikátorai ebben a munkarészben.</w:t>
      </w:r>
    </w:p>
    <w:p w14:paraId="62486C05" w14:textId="5619169B" w:rsidR="0037613F" w:rsidRPr="00F92169" w:rsidRDefault="0037613F" w:rsidP="00F92169">
      <w:pPr>
        <w:rPr>
          <w:szCs w:val="24"/>
        </w:rPr>
      </w:pPr>
      <w:r w:rsidRPr="00F92169">
        <w:rPr>
          <w:szCs w:val="24"/>
        </w:rPr>
        <w:t>Összefoglalóan megállítható, hogy a k</w:t>
      </w:r>
      <w:r w:rsidR="000C49EC" w:rsidRPr="00F92169">
        <w:rPr>
          <w:szCs w:val="24"/>
        </w:rPr>
        <w:t>özép</w:t>
      </w:r>
      <w:r w:rsidRPr="00F92169">
        <w:rPr>
          <w:szCs w:val="24"/>
        </w:rPr>
        <w:t>- (2021-2050)</w:t>
      </w:r>
      <w:r w:rsidR="000C49EC" w:rsidRPr="00F92169">
        <w:rPr>
          <w:szCs w:val="24"/>
        </w:rPr>
        <w:t xml:space="preserve"> és hosszú</w:t>
      </w:r>
      <w:r w:rsidRPr="00F92169">
        <w:rPr>
          <w:szCs w:val="24"/>
        </w:rPr>
        <w:t xml:space="preserve"> idő</w:t>
      </w:r>
      <w:r w:rsidR="000C49EC" w:rsidRPr="00F92169">
        <w:rPr>
          <w:szCs w:val="24"/>
        </w:rPr>
        <w:t>távú</w:t>
      </w:r>
      <w:r w:rsidRPr="00F92169">
        <w:rPr>
          <w:szCs w:val="24"/>
        </w:rPr>
        <w:t xml:space="preserve"> (2071-2100)</w:t>
      </w:r>
      <w:r w:rsidR="000C49EC" w:rsidRPr="00F92169">
        <w:rPr>
          <w:szCs w:val="24"/>
        </w:rPr>
        <w:t xml:space="preserve"> éghajlati</w:t>
      </w:r>
      <w:r w:rsidRPr="00F92169">
        <w:rPr>
          <w:szCs w:val="24"/>
        </w:rPr>
        <w:t xml:space="preserve"> és földtani komplex</w:t>
      </w:r>
      <w:r w:rsidR="000C49EC" w:rsidRPr="00F92169">
        <w:rPr>
          <w:szCs w:val="24"/>
        </w:rPr>
        <w:t xml:space="preserve"> </w:t>
      </w:r>
      <w:r w:rsidRPr="00F92169">
        <w:rPr>
          <w:szCs w:val="24"/>
        </w:rPr>
        <w:t xml:space="preserve">várható hatások, illetve </w:t>
      </w:r>
      <w:r w:rsidR="00FE2B0E" w:rsidRPr="00F92169">
        <w:rPr>
          <w:szCs w:val="24"/>
        </w:rPr>
        <w:t xml:space="preserve">a </w:t>
      </w:r>
      <w:r w:rsidRPr="00F92169">
        <w:rPr>
          <w:szCs w:val="24"/>
        </w:rPr>
        <w:t>komplex sérülékenység jelentősen változna</w:t>
      </w:r>
      <w:r w:rsidR="00531129" w:rsidRPr="00F92169">
        <w:rPr>
          <w:szCs w:val="24"/>
        </w:rPr>
        <w:t>k.</w:t>
      </w:r>
      <w:r w:rsidRPr="00F92169">
        <w:rPr>
          <w:szCs w:val="24"/>
        </w:rPr>
        <w:t xml:space="preserve"> Közepesen, majd</w:t>
      </w:r>
      <w:r w:rsidR="000C49EC" w:rsidRPr="00F92169">
        <w:rPr>
          <w:szCs w:val="24"/>
        </w:rPr>
        <w:t xml:space="preserve"> jelentősen romló helyzet </w:t>
      </w:r>
      <w:r w:rsidRPr="00F92169">
        <w:rPr>
          <w:szCs w:val="24"/>
        </w:rPr>
        <w:t xml:space="preserve">várható </w:t>
      </w:r>
      <w:r w:rsidR="000C49EC" w:rsidRPr="00F92169">
        <w:rPr>
          <w:szCs w:val="24"/>
        </w:rPr>
        <w:t>a vizsgált komplex mut</w:t>
      </w:r>
      <w:r w:rsidRPr="00F92169">
        <w:rPr>
          <w:szCs w:val="24"/>
        </w:rPr>
        <w:t>atók esetén az évszázad közepére és végére k</w:t>
      </w:r>
      <w:r w:rsidR="000C49EC" w:rsidRPr="00F92169">
        <w:rPr>
          <w:szCs w:val="24"/>
        </w:rPr>
        <w:t>iemelten a pesszimista forgatóköny</w:t>
      </w:r>
      <w:r w:rsidRPr="00F92169">
        <w:rPr>
          <w:szCs w:val="24"/>
        </w:rPr>
        <w:t>vek</w:t>
      </w:r>
      <w:r w:rsidR="000C49EC" w:rsidRPr="00F92169">
        <w:rPr>
          <w:szCs w:val="24"/>
        </w:rPr>
        <w:t xml:space="preserve"> (RCP 8.5) esetén</w:t>
      </w:r>
      <w:r w:rsidRPr="00F92169">
        <w:rPr>
          <w:szCs w:val="24"/>
        </w:rPr>
        <w:t>. Megállapítható, hogy a</w:t>
      </w:r>
      <w:r w:rsidR="000C49EC" w:rsidRPr="00F92169">
        <w:rPr>
          <w:szCs w:val="24"/>
        </w:rPr>
        <w:t xml:space="preserve"> felszíni (</w:t>
      </w:r>
      <w:proofErr w:type="spellStart"/>
      <w:r w:rsidR="000C49EC" w:rsidRPr="00F92169">
        <w:rPr>
          <w:szCs w:val="24"/>
        </w:rPr>
        <w:t>kitettebb</w:t>
      </w:r>
      <w:proofErr w:type="spellEnd"/>
      <w:r w:rsidR="000C49EC" w:rsidRPr="00F92169">
        <w:rPr>
          <w:szCs w:val="24"/>
        </w:rPr>
        <w:t>, érzékenyebb) létesítmények sérülékenysége intenzívebben változhat</w:t>
      </w:r>
      <w:r w:rsidRPr="00F92169">
        <w:rPr>
          <w:szCs w:val="24"/>
        </w:rPr>
        <w:t>. A j</w:t>
      </w:r>
      <w:r w:rsidR="000C49EC" w:rsidRPr="00F92169">
        <w:rPr>
          <w:szCs w:val="24"/>
        </w:rPr>
        <w:t xml:space="preserve">elentős </w:t>
      </w:r>
      <w:r w:rsidRPr="00F92169">
        <w:rPr>
          <w:szCs w:val="24"/>
        </w:rPr>
        <w:t xml:space="preserve">romló tendenciák mellett várhatóan </w:t>
      </w:r>
      <w:r w:rsidR="000C49EC" w:rsidRPr="00F92169">
        <w:rPr>
          <w:szCs w:val="24"/>
        </w:rPr>
        <w:t xml:space="preserve">növekvő területi különbségek </w:t>
      </w:r>
      <w:r w:rsidRPr="00F92169">
        <w:rPr>
          <w:szCs w:val="24"/>
        </w:rPr>
        <w:t xml:space="preserve">is megfigyelhetőek </w:t>
      </w:r>
      <w:r w:rsidR="000C49EC" w:rsidRPr="00F92169">
        <w:rPr>
          <w:szCs w:val="24"/>
        </w:rPr>
        <w:t>rendszerenként</w:t>
      </w:r>
      <w:r w:rsidRPr="00F92169">
        <w:rPr>
          <w:szCs w:val="24"/>
        </w:rPr>
        <w:t xml:space="preserve"> és hazai tájanként, térségenként. </w:t>
      </w:r>
    </w:p>
    <w:p w14:paraId="5EEA4160" w14:textId="77777777" w:rsidR="00F92169" w:rsidRPr="00F92169" w:rsidRDefault="00F92169" w:rsidP="00F92169">
      <w:pPr>
        <w:rPr>
          <w:szCs w:val="24"/>
        </w:rPr>
      </w:pPr>
    </w:p>
    <w:p w14:paraId="313FD782" w14:textId="77777777" w:rsidR="00EB300D" w:rsidRPr="00592227" w:rsidRDefault="00EB300D" w:rsidP="006D5975">
      <w:pPr>
        <w:pStyle w:val="Cmsor1"/>
      </w:pPr>
      <w:bookmarkStart w:id="5" w:name="_Toc147484188"/>
      <w:r w:rsidRPr="00592227">
        <w:lastRenderedPageBreak/>
        <w:t>3. A módszertani tanulmány és fő eredményei</w:t>
      </w:r>
      <w:bookmarkEnd w:id="5"/>
    </w:p>
    <w:p w14:paraId="05704066" w14:textId="59A66EBC" w:rsidR="005C2925" w:rsidRPr="00F92169" w:rsidRDefault="005C2925" w:rsidP="00F92169">
      <w:r w:rsidRPr="00F92169">
        <w:t>A korábban elkészített módszertani tanulmány célja volt a hazai létfontosságú energetikai rendszerek egyes, kiemelt elemeinek éghajlati- és földtani sérülékenység-vizsgálati megalapozása elsősorban módszertani oldalról. Fontos hangsúlyozni, hogy a vizsgálatban a kritikus energetikai infrastruktúrák kifejezést széleskörűen, nem kizárólag a létfontosságú rendszerelemekre értelmeztük, azok vizsgálatát rendszerszemléletben végeztük. Célunk volt tehát azon kiemelt rendszerelemeket vizsgálni, amelyek villamosenergia-, földgáz- és távhőrendszerek éghajlati és földtani sérülékenységét hosszú távon meghatározzák.</w:t>
      </w:r>
    </w:p>
    <w:p w14:paraId="3A029509" w14:textId="15B3108C" w:rsidR="005C2925" w:rsidRPr="00F92169" w:rsidRDefault="005C2925" w:rsidP="00F92169">
      <w:r w:rsidRPr="00F92169">
        <w:t>A módszertan további célja volt annak a bemutatása, hogy a nemzetközi és hazai szakirodalom, valamint saját kutatások, az energetikai partnerek gyakorlata és tapasztalatai alapján az energetikai kritikus infrastruktúra éghajlati és földtani veszélyekkel szembeni sérülékenysége miként, milyen módszerekkel és milyen adatokkal vizsgálható. A kutatás fókuszában korábbi vizsgálatok alapján elsősorban az energetikai szállítási létesítmények éghajlati és földtani sérülékenysége állt. Fontos feladat volt azt megvizsgálni, hogy a különböző információk, feldolgozási és értelmezési eljárások, továbbá a jelenlegi és az idővel egyre bővülő adatbázisok és indikátorok milyen módon segíthetik a szélsőséges időjárási események (például extrém szélviharok, tapadó csapadékok, nagy hőmérséklet-ingadozások) és a földtani veszélyforrások (például üreg- és pincebeszakadások, felszínmozgásos folyamatok) területi fókuszú (országos vagy térségi, helyi szintű) bemutatását, jellemzését, értékelését.</w:t>
      </w:r>
    </w:p>
    <w:p w14:paraId="7F1C8C4C" w14:textId="77777777" w:rsidR="005C2925" w:rsidRPr="00F92169" w:rsidRDefault="005C2925" w:rsidP="00F92169">
      <w:r w:rsidRPr="00F92169">
        <w:t>A témakör feltárását széleskörű nemzetközi és hazai szakirodalmi feldolgozással alapoztuk meg annak érdekében, hogy látható legyen éghajlati és földtani oldalról is milyen módon közelítenek a tudomány és az egyes ágazatok szereplői a villamosenergia-, a földgáz- és távhőrendszerek vizsgálatához módszertani oldalról, illetve vannak-e hiányos területek az összetett energetikai rendszerek ilyen irányú vizsgálatakor.</w:t>
      </w:r>
    </w:p>
    <w:p w14:paraId="45E914C1" w14:textId="77777777" w:rsidR="005C2925" w:rsidRPr="00F92169" w:rsidRDefault="005C2925" w:rsidP="00F92169">
      <w:r w:rsidRPr="00F92169">
        <w:t xml:space="preserve">Annak érdekében, hogy az energetikai infrastruktúra sérülékenységéről hiteles képet kapjunk, széleskörű adat- és információgyűjtésre volt szükség az energiaszolgáltatóktól, rendszerirányítóktól, hatóságoktól. Ezért köszönettel tartozunk a </w:t>
      </w:r>
      <w:proofErr w:type="spellStart"/>
      <w:r w:rsidRPr="00F92169">
        <w:t>MATÁSzSz</w:t>
      </w:r>
      <w:proofErr w:type="spellEnd"/>
      <w:r w:rsidRPr="00F92169">
        <w:t xml:space="preserve"> (Magyar Távhőszolgáltatók Szakmai Szövetsége), a MAVIR Zrt. (Magyar Villamosenergia-ipari Átviteli Rendszerirányító Zártkörűen Működő Részvénytársaság), az FGSZ Zrt. (Földgázszállító Zártkörűen Működő Részvénytársaság), a MEKH (Magyar Energetikai és Közmű-szabályozási Hivatal), az MVM Zrt. (Magyar Villamos Művek Zrt.) vezetőinek és kapcsolattartó szakértőinek, akik iránymutatásaikkal, tudásukkal, alap és képzett adataikkal segítették a módszertan kialakítását. A tanulmány elkészítésében szakmai lektorként vettek részt, továbbá a rendelkezésre álló adatok, információk, eljárások és használt mutatók megismertetését is végezték, valamint szakmai tanácsaikkal, tapasztalatukkal voltak segítségünkre. Mindemellett azért, hogy a sérülékenység-vizsgálat gyakorlati hasznosíthatóságát is megalapozzák.</w:t>
      </w:r>
    </w:p>
    <w:p w14:paraId="13EA62A0" w14:textId="77777777" w:rsidR="005C2925" w:rsidRPr="00F92169" w:rsidRDefault="005C2925" w:rsidP="00F92169">
      <w:r w:rsidRPr="00F92169">
        <w:t xml:space="preserve">Eredményként módszertani és éghajlat-földtan specifikus szakmai javaslatokat fogalmaztunk meg. Ekkor készültek el több lépésben szakmai konszenzussal a négy hazai energetikai rendszer (a nagynyomású földgázhálózat és felszíni rendszerelemei, a nagy hőkiadású távhőkörzetek, nagyfeszültségű átviteli hálózat vezetékszakaszai) </w:t>
      </w:r>
      <w:r w:rsidR="00AC5F96" w:rsidRPr="00F92169">
        <w:t xml:space="preserve">általános és területi bemutatásai és különösen </w:t>
      </w:r>
      <w:r w:rsidRPr="00F92169">
        <w:t>komplex hatásláncai. Fontos volt az éghajlati és földtani kitettségi indikátorok, valamint az egyes rendszerek érzékenységi és (ahol volt rá lehetőség) az alkalmazkodóképességi, a várható hatás és a sérülékenységi mutatók képzési lépéseinek kialakítása, alkalmazása. Jelen tanulmányban ezekre a módszertani alapokra támaszkodtunk</w:t>
      </w:r>
      <w:r w:rsidR="00035541" w:rsidRPr="00F92169">
        <w:t>. U</w:t>
      </w:r>
      <w:r w:rsidRPr="00F92169">
        <w:t>gyanakkor a konkrét számítások, besorolások elvégzésénél, a különféle módszertani eljárásoknál néhány esetben szükséges volt a korábbi módszertan bővítése, kiegészítése, javítása, amelyet ebben a tanulmányban adunk közre építve a módszertani tanulmányban leírtakra. Mindezekre a partnerek szakmai kritikája, kiegészítései, a világosabb és hangsúlyosabb értelmezési keretek kialakítása érdekében volt szükség.</w:t>
      </w:r>
    </w:p>
    <w:p w14:paraId="435E6C74" w14:textId="77777777" w:rsidR="006C2E2C" w:rsidRPr="00592227" w:rsidRDefault="006C2E2C" w:rsidP="006D5975">
      <w:pPr>
        <w:pStyle w:val="Cmsor1"/>
        <w:rPr>
          <w:rFonts w:eastAsiaTheme="minorEastAsia"/>
          <w:noProof/>
          <w:sz w:val="22"/>
          <w:szCs w:val="22"/>
          <w:lang w:eastAsia="hu-HU"/>
        </w:rPr>
      </w:pPr>
      <w:bookmarkStart w:id="6" w:name="_Toc147484189"/>
      <w:r w:rsidRPr="00592227">
        <w:rPr>
          <w:noProof/>
        </w:rPr>
        <w:lastRenderedPageBreak/>
        <w:t>4. Energetikai létesítményeket érintő földtani mozgásesemények érzékelése és értékelése</w:t>
      </w:r>
      <w:r w:rsidRPr="00592227">
        <w:rPr>
          <w:noProof/>
          <w:webHidden/>
        </w:rPr>
        <w:t xml:space="preserve"> </w:t>
      </w:r>
      <w:r w:rsidR="006207EA" w:rsidRPr="00592227">
        <w:rPr>
          <w:noProof/>
          <w:webHidden/>
        </w:rPr>
        <w:t>űrgeodéziai (</w:t>
      </w:r>
      <w:r w:rsidRPr="00592227">
        <w:rPr>
          <w:noProof/>
          <w:webHidden/>
        </w:rPr>
        <w:t>InSAR</w:t>
      </w:r>
      <w:r w:rsidR="006207EA" w:rsidRPr="00592227">
        <w:rPr>
          <w:noProof/>
          <w:webHidden/>
        </w:rPr>
        <w:t xml:space="preserve">, </w:t>
      </w:r>
      <w:r w:rsidRPr="00592227">
        <w:rPr>
          <w:noProof/>
          <w:webHidden/>
        </w:rPr>
        <w:t>műholdradar interferometria) technológiával – a vizsgálat fő eredményei</w:t>
      </w:r>
      <w:bookmarkEnd w:id="6"/>
      <w:r w:rsidRPr="00592227">
        <w:rPr>
          <w:noProof/>
          <w:webHidden/>
        </w:rPr>
        <w:t xml:space="preserve">  </w:t>
      </w:r>
    </w:p>
    <w:p w14:paraId="163648C8" w14:textId="77777777" w:rsidR="006C2E2C" w:rsidRPr="00F92169" w:rsidRDefault="006207EA" w:rsidP="00F92169">
      <w:pPr>
        <w:pStyle w:val="NormlWeb"/>
        <w:spacing w:beforeAutospacing="0" w:afterAutospacing="0"/>
        <w:ind w:firstLine="709"/>
        <w:jc w:val="both"/>
      </w:pPr>
      <w:r w:rsidRPr="00F92169">
        <w:rPr>
          <w:color w:val="000000"/>
        </w:rPr>
        <w:t>Az</w:t>
      </w:r>
      <w:r w:rsidR="006C2E2C" w:rsidRPr="00F92169">
        <w:rPr>
          <w:color w:val="000000"/>
        </w:rPr>
        <w:t xml:space="preserve"> űrgeodézia</w:t>
      </w:r>
      <w:r w:rsidR="00620B0D" w:rsidRPr="00F92169">
        <w:rPr>
          <w:color w:val="000000"/>
        </w:rPr>
        <w:t xml:space="preserve"> napjaink felértékelődő távérzékelési módszerei közé tartozik. E</w:t>
      </w:r>
      <w:r w:rsidR="006C2E2C" w:rsidRPr="00F92169">
        <w:rPr>
          <w:color w:val="000000"/>
        </w:rPr>
        <w:t xml:space="preserve">nnek egy speciális szakterülete, a műholdradar </w:t>
      </w:r>
      <w:proofErr w:type="spellStart"/>
      <w:r w:rsidR="006C2E2C" w:rsidRPr="00F92169">
        <w:rPr>
          <w:color w:val="000000"/>
        </w:rPr>
        <w:t>interferometria</w:t>
      </w:r>
      <w:proofErr w:type="spellEnd"/>
      <w:r w:rsidR="006C2E2C" w:rsidRPr="00F92169">
        <w:rPr>
          <w:color w:val="000000"/>
        </w:rPr>
        <w:t xml:space="preserve"> (</w:t>
      </w:r>
      <w:proofErr w:type="spellStart"/>
      <w:r w:rsidR="006C2E2C" w:rsidRPr="00F92169">
        <w:rPr>
          <w:color w:val="000000"/>
        </w:rPr>
        <w:t>InSAR</w:t>
      </w:r>
      <w:proofErr w:type="spellEnd"/>
      <w:r w:rsidR="006C2E2C" w:rsidRPr="00F92169">
        <w:rPr>
          <w:color w:val="000000"/>
        </w:rPr>
        <w:t xml:space="preserve">). </w:t>
      </w:r>
      <w:r w:rsidRPr="00F92169">
        <w:rPr>
          <w:color w:val="000000"/>
        </w:rPr>
        <w:t>A</w:t>
      </w:r>
      <w:r w:rsidR="006C2E2C" w:rsidRPr="00F92169">
        <w:rPr>
          <w:color w:val="000000"/>
        </w:rPr>
        <w:t xml:space="preserve"> gyakorlatban azt jelenti, hogy műholdradarok készítenek felvételeket hazánk teljes területéről heti rendszerességgel, függetlenül az időjárási körülményektől. A nyers méréseket speciális szoftverek segítségével idősoros adatokká dolgozzuk fel, és ezáltal válik láthatóvá, hogy a mért felszínrészlet a műhold pályája felé közeledett vagy távolodott-e. Itt különösen fontos kiemelni, hogy a Föld körüli pályára állított műholdradarok rendszeresen detektálják a felszínt, így – a hagyományos terepi módszerekkel ellentétben – nemcsak egy-egy felmérés folyamán kapunk információt a vizsgált térszín állapotáról. Az említett módszer óriási előnye, hogy folyamatos megfigyelést végez akár országos léptékben, így különböző szakterületek monitoring rendszerei épülhe</w:t>
      </w:r>
      <w:r w:rsidRPr="00F92169">
        <w:rPr>
          <w:color w:val="000000"/>
        </w:rPr>
        <w:t>tnek a műholdradar felvételekre.</w:t>
      </w:r>
      <w:r w:rsidR="006C2E2C" w:rsidRPr="00F92169">
        <w:rPr>
          <w:color w:val="000000"/>
        </w:rPr>
        <w:t> </w:t>
      </w:r>
    </w:p>
    <w:p w14:paraId="3939131D" w14:textId="77777777" w:rsidR="00484EBE" w:rsidRPr="00F92169" w:rsidRDefault="006C2E2C" w:rsidP="00F92169">
      <w:pPr>
        <w:rPr>
          <w:color w:val="000000" w:themeColor="text1"/>
          <w:szCs w:val="24"/>
        </w:rPr>
      </w:pPr>
      <w:r w:rsidRPr="00F92169">
        <w:rPr>
          <w:color w:val="000000"/>
          <w:szCs w:val="24"/>
        </w:rPr>
        <w:t xml:space="preserve">Manapság már nemcsak a tudományos szakirodalom említi az eljárás alkalmazását, hanem a szénhidrogén-bányászattól kezdve az épített szerkezetek vizsgálatán keresztül a földtani veszélyforrásokig egyre </w:t>
      </w:r>
      <w:proofErr w:type="spellStart"/>
      <w:r w:rsidRPr="00F92169">
        <w:rPr>
          <w:color w:val="000000"/>
          <w:szCs w:val="24"/>
        </w:rPr>
        <w:t>szerteágazóbbak</w:t>
      </w:r>
      <w:proofErr w:type="spellEnd"/>
      <w:r w:rsidRPr="00F92169">
        <w:rPr>
          <w:color w:val="000000"/>
          <w:szCs w:val="24"/>
        </w:rPr>
        <w:t xml:space="preserve"> az ipari, műszaki, mérnöki hasznosítások. A bemutatott technológia bekerült a mindennapi gyakorlatba és képes hatékonyan támogatni a környezetbiztonsággal kapcsolatos stratégiai, szakpolitikai és üzemeltetési kérdéseket. A </w:t>
      </w:r>
      <w:r w:rsidRPr="00F92169">
        <w:rPr>
          <w:i/>
          <w:iCs/>
          <w:color w:val="000000"/>
          <w:szCs w:val="24"/>
        </w:rPr>
        <w:t>Kritikus energetikai infrastruktúra-elemek (villamosenergia, gáz, távhőrendszerek) éghajlati és földtani sérülékenységének értékelése</w:t>
      </w:r>
      <w:r w:rsidRPr="00F92169">
        <w:rPr>
          <w:color w:val="000000"/>
          <w:szCs w:val="24"/>
        </w:rPr>
        <w:t xml:space="preserve"> című projekt kere</w:t>
      </w:r>
      <w:r w:rsidR="006207EA" w:rsidRPr="00F92169">
        <w:rPr>
          <w:color w:val="000000"/>
          <w:szCs w:val="24"/>
        </w:rPr>
        <w:t xml:space="preserve">tében széleskörűen áttekintésre és két </w:t>
      </w:r>
      <w:r w:rsidR="00BC4E95" w:rsidRPr="00F92169">
        <w:rPr>
          <w:color w:val="000000"/>
          <w:szCs w:val="24"/>
        </w:rPr>
        <w:t xml:space="preserve">döntéselőkészítő </w:t>
      </w:r>
      <w:r w:rsidR="006207EA" w:rsidRPr="00F92169">
        <w:rPr>
          <w:color w:val="000000"/>
          <w:szCs w:val="24"/>
        </w:rPr>
        <w:t>tanulmányban összefoglalásra kerültek</w:t>
      </w:r>
      <w:r w:rsidRPr="00F92169">
        <w:rPr>
          <w:color w:val="000000"/>
          <w:szCs w:val="24"/>
        </w:rPr>
        <w:t xml:space="preserve"> a műholdradar </w:t>
      </w:r>
      <w:proofErr w:type="spellStart"/>
      <w:r w:rsidRPr="00F92169">
        <w:rPr>
          <w:color w:val="000000"/>
          <w:szCs w:val="24"/>
        </w:rPr>
        <w:t>interferometria</w:t>
      </w:r>
      <w:proofErr w:type="spellEnd"/>
      <w:r w:rsidRPr="00F92169">
        <w:rPr>
          <w:color w:val="000000"/>
          <w:szCs w:val="24"/>
        </w:rPr>
        <w:t xml:space="preserve"> szakági stratégiai és műszaki tervezési folyamatokba történő </w:t>
      </w:r>
      <w:r w:rsidRPr="00F92169">
        <w:rPr>
          <w:color w:val="000000" w:themeColor="text1"/>
          <w:szCs w:val="24"/>
        </w:rPr>
        <w:t>bev</w:t>
      </w:r>
      <w:r w:rsidR="006207EA" w:rsidRPr="00F92169">
        <w:rPr>
          <w:color w:val="000000" w:themeColor="text1"/>
          <w:szCs w:val="24"/>
        </w:rPr>
        <w:t>ezetésének lehetőségei</w:t>
      </w:r>
      <w:r w:rsidRPr="00F92169">
        <w:rPr>
          <w:color w:val="000000" w:themeColor="text1"/>
          <w:szCs w:val="24"/>
        </w:rPr>
        <w:t xml:space="preserve">. A </w:t>
      </w:r>
      <w:r w:rsidR="006207EA" w:rsidRPr="00F92169">
        <w:rPr>
          <w:color w:val="000000" w:themeColor="text1"/>
          <w:szCs w:val="24"/>
        </w:rPr>
        <w:t xml:space="preserve">korábbi </w:t>
      </w:r>
      <w:r w:rsidRPr="00F92169">
        <w:rPr>
          <w:color w:val="000000" w:themeColor="text1"/>
          <w:szCs w:val="24"/>
        </w:rPr>
        <w:t xml:space="preserve">Magyar Bányászati és Földtani Szolgálat (MBFSZ) Nemzeti Alkalmazkodási Központ Főosztályának szakmai koncepciója alapján műholdradar </w:t>
      </w:r>
      <w:proofErr w:type="spellStart"/>
      <w:r w:rsidRPr="00F92169">
        <w:rPr>
          <w:color w:val="000000" w:themeColor="text1"/>
          <w:szCs w:val="24"/>
        </w:rPr>
        <w:t>interf</w:t>
      </w:r>
      <w:r w:rsidR="006207EA" w:rsidRPr="00F92169">
        <w:rPr>
          <w:color w:val="000000" w:themeColor="text1"/>
          <w:szCs w:val="24"/>
        </w:rPr>
        <w:t>erometria</w:t>
      </w:r>
      <w:proofErr w:type="spellEnd"/>
      <w:r w:rsidR="006207EA" w:rsidRPr="00F92169">
        <w:rPr>
          <w:color w:val="000000" w:themeColor="text1"/>
          <w:szCs w:val="24"/>
        </w:rPr>
        <w:t xml:space="preserve"> bevonásával egy szakmai szereplő, a </w:t>
      </w:r>
      <w:proofErr w:type="spellStart"/>
      <w:r w:rsidR="006207EA" w:rsidRPr="00F92169">
        <w:rPr>
          <w:color w:val="000000" w:themeColor="text1"/>
          <w:szCs w:val="24"/>
        </w:rPr>
        <w:t>DATelite</w:t>
      </w:r>
      <w:proofErr w:type="spellEnd"/>
      <w:r w:rsidR="006207EA" w:rsidRPr="00F92169">
        <w:rPr>
          <w:color w:val="000000" w:themeColor="text1"/>
          <w:szCs w:val="24"/>
        </w:rPr>
        <w:t xml:space="preserve"> Kft. vizsgálta</w:t>
      </w:r>
      <w:r w:rsidRPr="00F92169">
        <w:rPr>
          <w:color w:val="000000" w:themeColor="text1"/>
          <w:szCs w:val="24"/>
        </w:rPr>
        <w:t xml:space="preserve"> az energetikai infrastruktúra földtani veszélyforrásokkal szembeni sérülékenységét. A komplex feltáró tanulmány több szempontból is igen hasznos eredményeket hozott. Ezek a kimenetek több szi</w:t>
      </w:r>
      <w:r w:rsidR="006207EA" w:rsidRPr="00F92169">
        <w:rPr>
          <w:color w:val="000000" w:themeColor="text1"/>
          <w:szCs w:val="24"/>
        </w:rPr>
        <w:t xml:space="preserve">nten értelmezhetőek. </w:t>
      </w:r>
      <w:r w:rsidR="00484EBE" w:rsidRPr="00F92169">
        <w:rPr>
          <w:color w:val="000000" w:themeColor="text1"/>
          <w:szCs w:val="24"/>
        </w:rPr>
        <w:t xml:space="preserve">Az </w:t>
      </w:r>
      <w:proofErr w:type="spellStart"/>
      <w:r w:rsidR="00484EBE" w:rsidRPr="00F92169">
        <w:rPr>
          <w:color w:val="000000" w:themeColor="text1"/>
          <w:szCs w:val="24"/>
        </w:rPr>
        <w:t>InSAR</w:t>
      </w:r>
      <w:proofErr w:type="spellEnd"/>
      <w:r w:rsidR="00484EBE" w:rsidRPr="00F92169">
        <w:rPr>
          <w:color w:val="000000" w:themeColor="text1"/>
          <w:szCs w:val="24"/>
        </w:rPr>
        <w:t xml:space="preserve"> technológia óriási előnye az időjárásfüggetlen folyamatos adatgyűjtés, hazánk teljes területének lefedettsége és a feldolgozások automatizálhatósága. Ezekkel az előnyökkel egyetlen más monitoring rendszer sem rendelkezik. Nem szabad megfeledkezni, hogy </w:t>
      </w:r>
      <w:r w:rsidR="0046754D" w:rsidRPr="00F92169">
        <w:rPr>
          <w:color w:val="000000" w:themeColor="text1"/>
          <w:szCs w:val="24"/>
        </w:rPr>
        <w:t xml:space="preserve">például </w:t>
      </w:r>
      <w:r w:rsidR="00484EBE" w:rsidRPr="00F92169">
        <w:rPr>
          <w:color w:val="000000" w:themeColor="text1"/>
          <w:szCs w:val="24"/>
        </w:rPr>
        <w:t xml:space="preserve">a Sentinel-1 </w:t>
      </w:r>
      <w:r w:rsidR="0046754D" w:rsidRPr="00F92169">
        <w:rPr>
          <w:color w:val="000000" w:themeColor="text1"/>
          <w:szCs w:val="24"/>
        </w:rPr>
        <w:t xml:space="preserve">műholdak </w:t>
      </w:r>
      <w:r w:rsidR="00484EBE" w:rsidRPr="00F92169">
        <w:rPr>
          <w:color w:val="000000" w:themeColor="text1"/>
          <w:szCs w:val="24"/>
        </w:rPr>
        <w:t>fe</w:t>
      </w:r>
      <w:r w:rsidR="0046754D" w:rsidRPr="00F92169">
        <w:rPr>
          <w:color w:val="000000" w:themeColor="text1"/>
          <w:szCs w:val="24"/>
        </w:rPr>
        <w:t>lvételei</w:t>
      </w:r>
      <w:r w:rsidR="00484EBE" w:rsidRPr="00F92169">
        <w:rPr>
          <w:color w:val="000000" w:themeColor="text1"/>
          <w:szCs w:val="24"/>
        </w:rPr>
        <w:t xml:space="preserve"> szabadon hozzáférhetők, így a monitoring rendszer felállítása után az alapadatok nem igényelnek további pénzügyi forrásokat. </w:t>
      </w:r>
    </w:p>
    <w:p w14:paraId="3C3F4129" w14:textId="77777777" w:rsidR="00484EBE" w:rsidRPr="00F92169" w:rsidRDefault="00484EBE" w:rsidP="00F92169">
      <w:pPr>
        <w:rPr>
          <w:color w:val="000000" w:themeColor="text1"/>
          <w:szCs w:val="24"/>
        </w:rPr>
      </w:pPr>
      <w:r w:rsidRPr="00F92169">
        <w:rPr>
          <w:color w:val="000000" w:themeColor="text1"/>
          <w:szCs w:val="24"/>
        </w:rPr>
        <w:t xml:space="preserve">Vizsgálataink egyértelműen bizonyították, hogy településgeológiai problémák esetén (magaspartok, alábányászott területek) az </w:t>
      </w:r>
      <w:proofErr w:type="spellStart"/>
      <w:r w:rsidRPr="00F92169">
        <w:rPr>
          <w:color w:val="000000" w:themeColor="text1"/>
          <w:szCs w:val="24"/>
        </w:rPr>
        <w:t>InSAR</w:t>
      </w:r>
      <w:proofErr w:type="spellEnd"/>
      <w:r w:rsidRPr="00F92169">
        <w:rPr>
          <w:color w:val="000000" w:themeColor="text1"/>
          <w:szCs w:val="24"/>
        </w:rPr>
        <w:t xml:space="preserve"> technológiai biztosítja a földtani veszélyforrások dinamikájának </w:t>
      </w:r>
      <w:proofErr w:type="spellStart"/>
      <w:r w:rsidRPr="00F92169">
        <w:rPr>
          <w:color w:val="000000" w:themeColor="text1"/>
          <w:szCs w:val="24"/>
        </w:rPr>
        <w:t>nyomonkövetését</w:t>
      </w:r>
      <w:proofErr w:type="spellEnd"/>
      <w:r w:rsidRPr="00F92169">
        <w:rPr>
          <w:color w:val="000000" w:themeColor="text1"/>
          <w:szCs w:val="24"/>
        </w:rPr>
        <w:t>, akár több évtizedes múltra visszamenőleg. Továbbá képes lokalizálni az érintett területeket és egyben feltárni a leginká</w:t>
      </w:r>
      <w:r w:rsidR="0046754D" w:rsidRPr="00F92169">
        <w:rPr>
          <w:color w:val="000000" w:themeColor="text1"/>
          <w:szCs w:val="24"/>
        </w:rPr>
        <w:t>bb veszélyeztetett térszíneket.</w:t>
      </w:r>
      <w:r w:rsidRPr="00F92169">
        <w:rPr>
          <w:color w:val="000000" w:themeColor="text1"/>
          <w:szCs w:val="24"/>
        </w:rPr>
        <w:t xml:space="preserve"> Az energetikai infrastruktúra felmérése hasonló eredményeket hozott. A több évtizednyi műholdradar felvétel feldolgozásával egyértelműen kimutathatóak az </w:t>
      </w:r>
      <w:r w:rsidR="0046754D" w:rsidRPr="00F92169">
        <w:rPr>
          <w:color w:val="000000" w:themeColor="text1"/>
          <w:szCs w:val="24"/>
        </w:rPr>
        <w:t>infrastrukturális</w:t>
      </w:r>
      <w:r w:rsidRPr="00F92169">
        <w:rPr>
          <w:color w:val="000000" w:themeColor="text1"/>
          <w:szCs w:val="24"/>
        </w:rPr>
        <w:t xml:space="preserve"> elemek károsodásai, földtani sérülékenysége. Milliméteres skálán mozogva mérhető a megfigyelt objektumok stabilitása, és ezzel párhuzamosan meghatározhatóak az üzembiztonságot veszélyeztető elemek, szerkezetek. Kézenfekvő tehát, hogy egy állandó adatfeldolgozást folytató </w:t>
      </w:r>
      <w:proofErr w:type="spellStart"/>
      <w:r w:rsidRPr="00F92169">
        <w:rPr>
          <w:color w:val="000000" w:themeColor="text1"/>
          <w:szCs w:val="24"/>
        </w:rPr>
        <w:t>InSAR</w:t>
      </w:r>
      <w:proofErr w:type="spellEnd"/>
      <w:r w:rsidRPr="00F92169">
        <w:rPr>
          <w:color w:val="000000" w:themeColor="text1"/>
          <w:szCs w:val="24"/>
        </w:rPr>
        <w:t xml:space="preserve"> monitoring rendszer hathatósan támogathatja hazánk kritikus infrastrukturális elemeinek megbízható működését, megelőzheti az üzemzavarokat és egyben csökkentheti a fenntartási költségeket. Ezek az előnyök nem hagyhatók figyelmen kívül, és </w:t>
      </w:r>
      <w:r w:rsidR="0046754D" w:rsidRPr="00F92169">
        <w:rPr>
          <w:color w:val="000000" w:themeColor="text1"/>
          <w:szCs w:val="24"/>
        </w:rPr>
        <w:t>fontos szemponttá</w:t>
      </w:r>
      <w:r w:rsidRPr="00F92169">
        <w:rPr>
          <w:color w:val="000000" w:themeColor="text1"/>
          <w:szCs w:val="24"/>
        </w:rPr>
        <w:t xml:space="preserve"> teszik a műholdradar üzemeltetési gyakorlatba való technológiai bevezetését.</w:t>
      </w:r>
    </w:p>
    <w:p w14:paraId="62D2EEF5" w14:textId="77777777" w:rsidR="00484EBE" w:rsidRPr="00F92169" w:rsidRDefault="00484EBE" w:rsidP="00F92169">
      <w:pPr>
        <w:rPr>
          <w:color w:val="000000" w:themeColor="text1"/>
          <w:szCs w:val="24"/>
        </w:rPr>
      </w:pPr>
      <w:r w:rsidRPr="00F92169">
        <w:rPr>
          <w:color w:val="000000" w:themeColor="text1"/>
          <w:szCs w:val="24"/>
        </w:rPr>
        <w:t xml:space="preserve">Természetesen az említett tényezőket fontos tovább árnyalni, mint ahogy a tanulmány rámutatott arra, hogy a Sentinel-1 felvételek mellett szükség lehet más frekvenciájú (vagy </w:t>
      </w:r>
      <w:r w:rsidRPr="00F92169">
        <w:rPr>
          <w:color w:val="000000" w:themeColor="text1"/>
          <w:szCs w:val="24"/>
        </w:rPr>
        <w:lastRenderedPageBreak/>
        <w:t xml:space="preserve">hullámhosszú X, L) feldolgozásokra. Ezek térbeli felbontásukkal, mérési érzékenységükkel tovább pontosíthatják egy-egy megfigyelt veszélyforrás térképezését. Emellett azt is be kell látni, hogy más adatgyűjtő rendszerekkel kombinálva az </w:t>
      </w:r>
      <w:proofErr w:type="spellStart"/>
      <w:r w:rsidRPr="00F92169">
        <w:rPr>
          <w:color w:val="000000" w:themeColor="text1"/>
          <w:szCs w:val="24"/>
        </w:rPr>
        <w:t>InSAR</w:t>
      </w:r>
      <w:proofErr w:type="spellEnd"/>
      <w:r w:rsidRPr="00F92169">
        <w:rPr>
          <w:color w:val="000000" w:themeColor="text1"/>
          <w:szCs w:val="24"/>
        </w:rPr>
        <w:t xml:space="preserve"> mérések egyéb alkalmazási területeket nyílhatnak meg, vagy a jelenlegi mérések válhatnak pontosabbá, átláthatóbbá. Az adatfúzió által biztosított új dimenziók egy többlépcsős monitoring rendszer felállításához vezethetnek. Ez tovább erősítheti az </w:t>
      </w:r>
      <w:proofErr w:type="spellStart"/>
      <w:r w:rsidRPr="00F92169">
        <w:rPr>
          <w:color w:val="000000" w:themeColor="text1"/>
          <w:szCs w:val="24"/>
        </w:rPr>
        <w:t>InSAR</w:t>
      </w:r>
      <w:proofErr w:type="spellEnd"/>
      <w:r w:rsidRPr="00F92169">
        <w:rPr>
          <w:color w:val="000000" w:themeColor="text1"/>
          <w:szCs w:val="24"/>
        </w:rPr>
        <w:t xml:space="preserve"> technológia sokrétű alkalmazási lehetőségét. </w:t>
      </w:r>
    </w:p>
    <w:p w14:paraId="3461D779" w14:textId="77777777" w:rsidR="006C2E2C" w:rsidRPr="00F92169" w:rsidRDefault="006C2E2C" w:rsidP="00F92169">
      <w:pPr>
        <w:rPr>
          <w:szCs w:val="24"/>
        </w:rPr>
      </w:pPr>
    </w:p>
    <w:p w14:paraId="3CF2D8B6" w14:textId="77777777" w:rsidR="006C2E2C" w:rsidRPr="00592227" w:rsidRDefault="006C2E2C" w:rsidP="006C2E2C">
      <w:pPr>
        <w:pStyle w:val="NormlWeb"/>
        <w:spacing w:beforeAutospacing="0" w:afterAutospacing="0"/>
        <w:jc w:val="center"/>
        <w:rPr>
          <w:sz w:val="22"/>
          <w:szCs w:val="22"/>
        </w:rPr>
      </w:pPr>
      <w:r w:rsidRPr="00592227">
        <w:rPr>
          <w:noProof/>
          <w:sz w:val="22"/>
          <w:szCs w:val="22"/>
        </w:rPr>
        <w:drawing>
          <wp:inline distT="0" distB="0" distL="0" distR="0" wp14:anchorId="194D7585" wp14:editId="042D463A">
            <wp:extent cx="3707778" cy="3930650"/>
            <wp:effectExtent l="0" t="0" r="6985" b="0"/>
            <wp:docPr id="2" name="Kép 16"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16" descr="A képen térkép látható&#10;&#10;Automatikusan generált leírás"/>
                    <pic:cNvPicPr>
                      <a:picLocks noChangeAspect="1" noChangeArrowheads="1"/>
                    </pic:cNvPicPr>
                  </pic:nvPicPr>
                  <pic:blipFill>
                    <a:blip r:embed="rId12"/>
                    <a:srcRect t="3068" r="39183" b="5361"/>
                    <a:stretch>
                      <a:fillRect/>
                    </a:stretch>
                  </pic:blipFill>
                  <pic:spPr bwMode="auto">
                    <a:xfrm>
                      <a:off x="0" y="0"/>
                      <a:ext cx="3711364" cy="3934452"/>
                    </a:xfrm>
                    <a:prstGeom prst="rect">
                      <a:avLst/>
                    </a:prstGeom>
                  </pic:spPr>
                </pic:pic>
              </a:graphicData>
            </a:graphic>
          </wp:inline>
        </w:drawing>
      </w:r>
    </w:p>
    <w:p w14:paraId="03AA0251" w14:textId="77777777" w:rsidR="006C2E2C" w:rsidRPr="00592227" w:rsidRDefault="006C2E2C" w:rsidP="003C305A">
      <w:pPr>
        <w:pStyle w:val="NormlWeb"/>
        <w:numPr>
          <w:ilvl w:val="1"/>
          <w:numId w:val="6"/>
        </w:numPr>
        <w:spacing w:beforeAutospacing="0" w:afterAutospacing="0"/>
        <w:ind w:left="0" w:firstLine="0"/>
        <w:jc w:val="center"/>
        <w:rPr>
          <w:sz w:val="22"/>
          <w:szCs w:val="22"/>
        </w:rPr>
      </w:pPr>
      <w:r w:rsidRPr="00592227">
        <w:rPr>
          <w:b/>
          <w:bCs/>
          <w:i/>
          <w:iCs/>
          <w:color w:val="000000"/>
          <w:sz w:val="22"/>
          <w:szCs w:val="22"/>
        </w:rPr>
        <w:t>ábra:</w:t>
      </w:r>
      <w:r w:rsidRPr="00592227">
        <w:rPr>
          <w:i/>
          <w:iCs/>
          <w:color w:val="000000"/>
          <w:sz w:val="22"/>
          <w:szCs w:val="22"/>
        </w:rPr>
        <w:t xml:space="preserve"> Földtani veszélyforrások vizsgálata Rácalmás térségében.</w:t>
      </w:r>
    </w:p>
    <w:p w14:paraId="6E7BEAA2" w14:textId="77777777" w:rsidR="006C2E2C" w:rsidRPr="00592227" w:rsidRDefault="006C2E2C" w:rsidP="006C2E2C">
      <w:pPr>
        <w:pStyle w:val="NormlWeb"/>
        <w:spacing w:beforeAutospacing="0" w:afterAutospacing="0"/>
        <w:jc w:val="center"/>
        <w:rPr>
          <w:sz w:val="22"/>
          <w:szCs w:val="22"/>
        </w:rPr>
      </w:pPr>
      <w:r w:rsidRPr="00592227">
        <w:rPr>
          <w:color w:val="000000"/>
          <w:sz w:val="22"/>
          <w:szCs w:val="22"/>
        </w:rPr>
        <w:t> </w:t>
      </w:r>
    </w:p>
    <w:p w14:paraId="2DBB9D45" w14:textId="77777777" w:rsidR="006C2E2C" w:rsidRPr="00F92169" w:rsidRDefault="006C2E2C" w:rsidP="00484EBE">
      <w:pPr>
        <w:pStyle w:val="NormlWeb"/>
        <w:spacing w:beforeAutospacing="0" w:afterAutospacing="0"/>
        <w:ind w:firstLine="708"/>
        <w:jc w:val="both"/>
      </w:pPr>
      <w:r w:rsidRPr="00F92169">
        <w:rPr>
          <w:color w:val="000000"/>
        </w:rPr>
        <w:t xml:space="preserve">A </w:t>
      </w:r>
      <w:proofErr w:type="spellStart"/>
      <w:r w:rsidRPr="00F92169">
        <w:rPr>
          <w:color w:val="000000"/>
        </w:rPr>
        <w:t>felsoroltakból</w:t>
      </w:r>
      <w:proofErr w:type="spellEnd"/>
      <w:r w:rsidRPr="00F92169">
        <w:rPr>
          <w:color w:val="000000"/>
        </w:rPr>
        <w:t xml:space="preserve"> </w:t>
      </w:r>
      <w:r w:rsidR="006207EA" w:rsidRPr="00F92169">
        <w:rPr>
          <w:color w:val="000000"/>
        </w:rPr>
        <w:t>l</w:t>
      </w:r>
      <w:r w:rsidRPr="00F92169">
        <w:rPr>
          <w:color w:val="000000"/>
        </w:rPr>
        <w:t>átszik, hogy a kritikus energetikai infrastruktúra-elemek</w:t>
      </w:r>
      <w:r w:rsidR="006207EA" w:rsidRPr="00F92169">
        <w:rPr>
          <w:color w:val="000000"/>
        </w:rPr>
        <w:t xml:space="preserve"> vagy rendszerek</w:t>
      </w:r>
      <w:r w:rsidRPr="00F92169">
        <w:rPr>
          <w:color w:val="000000"/>
        </w:rPr>
        <w:t xml:space="preserve"> </w:t>
      </w:r>
      <w:proofErr w:type="spellStart"/>
      <w:r w:rsidRPr="00F92169">
        <w:rPr>
          <w:color w:val="000000"/>
        </w:rPr>
        <w:t>geodinamikai</w:t>
      </w:r>
      <w:proofErr w:type="spellEnd"/>
      <w:r w:rsidRPr="00F92169">
        <w:rPr>
          <w:color w:val="000000"/>
        </w:rPr>
        <w:t xml:space="preserve"> sérülékenységének megfigyelése szakszerűen megvalósítható egy </w:t>
      </w:r>
      <w:proofErr w:type="spellStart"/>
      <w:r w:rsidRPr="00F92169">
        <w:rPr>
          <w:color w:val="000000"/>
        </w:rPr>
        <w:t>InSAR</w:t>
      </w:r>
      <w:proofErr w:type="spellEnd"/>
      <w:r w:rsidRPr="00F92169">
        <w:rPr>
          <w:color w:val="000000"/>
        </w:rPr>
        <w:t xml:space="preserve"> monitoringrendszer üzembe helyezésével. Az átadott szakmai anyagok konkrét esettanulmányok segítségével, szisztematikusan dolgozták fel egy-egy földtani veszélyforrás </w:t>
      </w:r>
      <w:proofErr w:type="spellStart"/>
      <w:r w:rsidR="006207EA" w:rsidRPr="00F92169">
        <w:rPr>
          <w:color w:val="000000"/>
        </w:rPr>
        <w:t>InSAR</w:t>
      </w:r>
      <w:proofErr w:type="spellEnd"/>
      <w:r w:rsidR="006207EA" w:rsidRPr="00F92169">
        <w:rPr>
          <w:color w:val="000000"/>
        </w:rPr>
        <w:t xml:space="preserve"> alapú vizsgálatát. A</w:t>
      </w:r>
      <w:r w:rsidR="00BC4E95" w:rsidRPr="00F92169">
        <w:rPr>
          <w:color w:val="000000"/>
        </w:rPr>
        <w:t>z előkészítő</w:t>
      </w:r>
      <w:r w:rsidR="006207EA" w:rsidRPr="00F92169">
        <w:rPr>
          <w:color w:val="000000"/>
        </w:rPr>
        <w:t xml:space="preserve"> vizsgálatot végző </w:t>
      </w:r>
      <w:proofErr w:type="spellStart"/>
      <w:r w:rsidR="006207EA" w:rsidRPr="00F92169">
        <w:rPr>
          <w:color w:val="000000"/>
        </w:rPr>
        <w:t>DATelite</w:t>
      </w:r>
      <w:proofErr w:type="spellEnd"/>
      <w:r w:rsidR="006207EA" w:rsidRPr="00F92169">
        <w:rPr>
          <w:color w:val="000000"/>
        </w:rPr>
        <w:t xml:space="preserve"> Kft.</w:t>
      </w:r>
      <w:r w:rsidR="00BC4E95" w:rsidRPr="00F92169">
        <w:rPr>
          <w:color w:val="000000"/>
        </w:rPr>
        <w:t xml:space="preserve"> </w:t>
      </w:r>
      <w:r w:rsidR="006207EA" w:rsidRPr="00F92169">
        <w:rPr>
          <w:color w:val="000000"/>
        </w:rPr>
        <w:t>az</w:t>
      </w:r>
      <w:r w:rsidRPr="00F92169">
        <w:rPr>
          <w:color w:val="000000"/>
        </w:rPr>
        <w:t xml:space="preserve"> elmúlt három évtized műholdadataira épülő </w:t>
      </w:r>
      <w:proofErr w:type="spellStart"/>
      <w:r w:rsidRPr="00F92169">
        <w:rPr>
          <w:color w:val="000000"/>
        </w:rPr>
        <w:t>interferometrikus</w:t>
      </w:r>
      <w:proofErr w:type="spellEnd"/>
      <w:r w:rsidRPr="00F92169">
        <w:rPr>
          <w:color w:val="000000"/>
        </w:rPr>
        <w:t xml:space="preserve"> </w:t>
      </w:r>
      <w:proofErr w:type="spellStart"/>
      <w:r w:rsidRPr="00F92169">
        <w:rPr>
          <w:color w:val="000000"/>
        </w:rPr>
        <w:t>geodi</w:t>
      </w:r>
      <w:r w:rsidR="006207EA" w:rsidRPr="00F92169">
        <w:rPr>
          <w:color w:val="000000"/>
        </w:rPr>
        <w:t>namikai</w:t>
      </w:r>
      <w:proofErr w:type="spellEnd"/>
      <w:r w:rsidR="006207EA" w:rsidRPr="00F92169">
        <w:rPr>
          <w:color w:val="000000"/>
        </w:rPr>
        <w:t xml:space="preserve"> vizsgálatokat hajtott</w:t>
      </w:r>
      <w:r w:rsidRPr="00F92169">
        <w:rPr>
          <w:color w:val="000000"/>
        </w:rPr>
        <w:t xml:space="preserve"> végre hazánk több mintaterületén. A </w:t>
      </w:r>
      <w:proofErr w:type="spellStart"/>
      <w:r w:rsidRPr="00F92169">
        <w:rPr>
          <w:color w:val="000000"/>
        </w:rPr>
        <w:t>rácalmási</w:t>
      </w:r>
      <w:proofErr w:type="spellEnd"/>
      <w:r w:rsidR="004C3DF1" w:rsidRPr="00F92169">
        <w:rPr>
          <w:color w:val="000000"/>
        </w:rPr>
        <w:t xml:space="preserve"> és dunaszekcsői csuszamlások (1</w:t>
      </w:r>
      <w:r w:rsidR="00BF16AA" w:rsidRPr="00F92169">
        <w:rPr>
          <w:color w:val="000000"/>
        </w:rPr>
        <w:t>-2</w:t>
      </w:r>
      <w:r w:rsidRPr="00F92169">
        <w:rPr>
          <w:color w:val="000000"/>
        </w:rPr>
        <w:t xml:space="preserve">. ábra) (magasparti csuszamlás), a pécsi és komlói alábányászott területek (településföldtani veszélyforrás) és </w:t>
      </w:r>
      <w:proofErr w:type="spellStart"/>
      <w:r w:rsidRPr="00F92169">
        <w:rPr>
          <w:color w:val="000000"/>
        </w:rPr>
        <w:t>dömösi</w:t>
      </w:r>
      <w:proofErr w:type="spellEnd"/>
      <w:r w:rsidRPr="00F92169">
        <w:rPr>
          <w:color w:val="000000"/>
        </w:rPr>
        <w:t xml:space="preserve"> sárfolyások felszíndeformációja alkotta a földtani veszélyforrások mintaterületeit. </w:t>
      </w:r>
    </w:p>
    <w:p w14:paraId="4AA66108" w14:textId="77777777" w:rsidR="006C2E2C" w:rsidRPr="00F92169" w:rsidRDefault="006C2E2C" w:rsidP="0039283E">
      <w:pPr>
        <w:pStyle w:val="NormlWeb"/>
        <w:spacing w:beforeAutospacing="0" w:afterAutospacing="0"/>
        <w:ind w:firstLine="708"/>
        <w:jc w:val="both"/>
      </w:pPr>
      <w:r w:rsidRPr="00F92169">
        <w:rPr>
          <w:color w:val="000000"/>
        </w:rPr>
        <w:t>A másik blokk a hangsúlyt a kritikus infrastruktúra elemeinek hosszútávú megfigyelésére helyezte, melynek keretében feltárásra került a Mát</w:t>
      </w:r>
      <w:r w:rsidR="00BF16AA" w:rsidRPr="00F92169">
        <w:rPr>
          <w:color w:val="000000"/>
        </w:rPr>
        <w:t>rai Erőmű és létesítményeinek (3</w:t>
      </w:r>
      <w:r w:rsidRPr="00F92169">
        <w:rPr>
          <w:color w:val="000000"/>
        </w:rPr>
        <w:t>. ábra), illetve a pécsi távhővezeték egy szakaszának mozgástörténete. Rövidebb esettanulmányok szemléltették az energetikai létesítmények egyes típusainak (</w:t>
      </w:r>
      <w:proofErr w:type="spellStart"/>
      <w:r w:rsidRPr="00F92169">
        <w:rPr>
          <w:color w:val="000000"/>
        </w:rPr>
        <w:t>fütő</w:t>
      </w:r>
      <w:proofErr w:type="spellEnd"/>
      <w:r w:rsidRPr="00F92169">
        <w:rPr>
          <w:color w:val="000000"/>
        </w:rPr>
        <w:t xml:space="preserve">-, erőmű, földgáz és kőolaj vezetékek és a nagyfeszültségű villamos vezetékek) </w:t>
      </w:r>
      <w:proofErr w:type="spellStart"/>
      <w:r w:rsidRPr="00F92169">
        <w:rPr>
          <w:color w:val="000000"/>
        </w:rPr>
        <w:t>InSAR</w:t>
      </w:r>
      <w:proofErr w:type="spellEnd"/>
      <w:r w:rsidRPr="00F92169">
        <w:rPr>
          <w:color w:val="000000"/>
        </w:rPr>
        <w:t xml:space="preserve"> technológián alapuló vizsgálatát.  A felsorolt elemzéseken keresztül nyilvánvalóvá vált, hogy a műholdradar adatok adekvátan hasznosíthatóak a kritikus energetikai infrastruktúra-elemek </w:t>
      </w:r>
      <w:proofErr w:type="spellStart"/>
      <w:r w:rsidRPr="00F92169">
        <w:rPr>
          <w:color w:val="000000"/>
        </w:rPr>
        <w:t>geodin</w:t>
      </w:r>
      <w:r w:rsidR="00BC4E95" w:rsidRPr="00F92169">
        <w:rPr>
          <w:color w:val="000000"/>
        </w:rPr>
        <w:t>amikai</w:t>
      </w:r>
      <w:proofErr w:type="spellEnd"/>
      <w:r w:rsidR="00BC4E95" w:rsidRPr="00F92169">
        <w:rPr>
          <w:color w:val="000000"/>
        </w:rPr>
        <w:t xml:space="preserve"> </w:t>
      </w:r>
      <w:proofErr w:type="spellStart"/>
      <w:r w:rsidR="00BC4E95" w:rsidRPr="00F92169">
        <w:rPr>
          <w:color w:val="000000"/>
        </w:rPr>
        <w:t>monitoringjában</w:t>
      </w:r>
      <w:proofErr w:type="spellEnd"/>
      <w:r w:rsidR="00BC4E95" w:rsidRPr="00F92169">
        <w:rPr>
          <w:color w:val="000000"/>
        </w:rPr>
        <w:t>, és nagy</w:t>
      </w:r>
      <w:r w:rsidRPr="00F92169">
        <w:rPr>
          <w:color w:val="000000"/>
        </w:rPr>
        <w:t>mértékben segíthetik a sérülékeny egységek</w:t>
      </w:r>
      <w:r w:rsidR="00BC4E95" w:rsidRPr="00F92169">
        <w:rPr>
          <w:color w:val="000000"/>
        </w:rPr>
        <w:t>, elemek</w:t>
      </w:r>
      <w:r w:rsidRPr="00F92169">
        <w:rPr>
          <w:color w:val="000000"/>
        </w:rPr>
        <w:t xml:space="preserve"> állapotvizsgálatát. Ezáltal megelőzhetjük a rendszerelemek állapotromlását, amely a </w:t>
      </w:r>
      <w:r w:rsidR="00BC4E95" w:rsidRPr="00F92169">
        <w:rPr>
          <w:color w:val="000000"/>
        </w:rPr>
        <w:t xml:space="preserve">szakmai partnerek és a </w:t>
      </w:r>
      <w:r w:rsidRPr="00F92169">
        <w:rPr>
          <w:color w:val="000000"/>
        </w:rPr>
        <w:t>nemzetgazdaság számára elsőszámú stratégiai szempont.</w:t>
      </w:r>
    </w:p>
    <w:p w14:paraId="0FB78278" w14:textId="77777777" w:rsidR="006C2E2C" w:rsidRPr="00F92169" w:rsidRDefault="006C2E2C" w:rsidP="006C2E2C">
      <w:pPr>
        <w:rPr>
          <w:szCs w:val="24"/>
        </w:rPr>
      </w:pPr>
    </w:p>
    <w:p w14:paraId="1FC39945" w14:textId="77777777" w:rsidR="006C2E2C" w:rsidRPr="00592227" w:rsidRDefault="006C2E2C" w:rsidP="003C305A">
      <w:pPr>
        <w:pStyle w:val="NormlWeb"/>
        <w:spacing w:beforeAutospacing="0" w:afterAutospacing="0"/>
        <w:jc w:val="center"/>
        <w:rPr>
          <w:sz w:val="22"/>
          <w:szCs w:val="22"/>
        </w:rPr>
      </w:pPr>
      <w:r w:rsidRPr="00592227">
        <w:rPr>
          <w:noProof/>
          <w:sz w:val="22"/>
          <w:szCs w:val="22"/>
        </w:rPr>
        <w:drawing>
          <wp:inline distT="0" distB="0" distL="0" distR="0" wp14:anchorId="28D25841" wp14:editId="28906CEA">
            <wp:extent cx="5257800" cy="3711799"/>
            <wp:effectExtent l="0" t="0" r="0" b="3175"/>
            <wp:docPr id="3" name="Kép 10"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10" descr="A képen térkép látható&#10;&#10;Automatikusan generált leírás"/>
                    <pic:cNvPicPr>
                      <a:picLocks noChangeAspect="1" noChangeArrowheads="1"/>
                    </pic:cNvPicPr>
                  </pic:nvPicPr>
                  <pic:blipFill>
                    <a:blip r:embed="rId13"/>
                    <a:stretch>
                      <a:fillRect/>
                    </a:stretch>
                  </pic:blipFill>
                  <pic:spPr bwMode="auto">
                    <a:xfrm>
                      <a:off x="0" y="0"/>
                      <a:ext cx="5259973" cy="3713333"/>
                    </a:xfrm>
                    <a:prstGeom prst="rect">
                      <a:avLst/>
                    </a:prstGeom>
                  </pic:spPr>
                </pic:pic>
              </a:graphicData>
            </a:graphic>
          </wp:inline>
        </w:drawing>
      </w:r>
    </w:p>
    <w:p w14:paraId="410507C1" w14:textId="77777777" w:rsidR="006C2E2C" w:rsidRPr="00592227" w:rsidRDefault="006C2E2C" w:rsidP="006C2E2C">
      <w:pPr>
        <w:pStyle w:val="NormlWeb"/>
        <w:spacing w:beforeAutospacing="0" w:afterAutospacing="0"/>
        <w:jc w:val="center"/>
        <w:rPr>
          <w:sz w:val="22"/>
          <w:szCs w:val="22"/>
        </w:rPr>
      </w:pPr>
      <w:r w:rsidRPr="00592227">
        <w:rPr>
          <w:b/>
          <w:bCs/>
          <w:i/>
          <w:iCs/>
          <w:color w:val="000000"/>
          <w:sz w:val="22"/>
          <w:szCs w:val="22"/>
        </w:rPr>
        <w:t>3. ábra:</w:t>
      </w:r>
      <w:r w:rsidRPr="00592227">
        <w:rPr>
          <w:i/>
          <w:iCs/>
          <w:color w:val="000000"/>
          <w:sz w:val="22"/>
          <w:szCs w:val="22"/>
        </w:rPr>
        <w:t xml:space="preserve"> Kritikus energetikai infrastruktúra elemek </w:t>
      </w:r>
      <w:proofErr w:type="spellStart"/>
      <w:r w:rsidRPr="00592227">
        <w:rPr>
          <w:i/>
          <w:iCs/>
          <w:color w:val="000000"/>
          <w:sz w:val="22"/>
          <w:szCs w:val="22"/>
        </w:rPr>
        <w:t>InSAR</w:t>
      </w:r>
      <w:proofErr w:type="spellEnd"/>
      <w:r w:rsidRPr="00592227">
        <w:rPr>
          <w:i/>
          <w:iCs/>
          <w:color w:val="000000"/>
          <w:sz w:val="22"/>
          <w:szCs w:val="22"/>
        </w:rPr>
        <w:t xml:space="preserve"> feldolgozás a Mátrai erőmű tágabb környezetében. </w:t>
      </w:r>
    </w:p>
    <w:p w14:paraId="0562CB0E" w14:textId="77777777" w:rsidR="006C2E2C" w:rsidRPr="00F92169" w:rsidRDefault="006C2E2C" w:rsidP="00F92169">
      <w:pPr>
        <w:rPr>
          <w:szCs w:val="24"/>
        </w:rPr>
      </w:pPr>
    </w:p>
    <w:p w14:paraId="09C4D4CC" w14:textId="77777777" w:rsidR="006C2E2C" w:rsidRPr="00F92169" w:rsidRDefault="00BC4E95" w:rsidP="00F92169">
      <w:pPr>
        <w:rPr>
          <w:szCs w:val="24"/>
        </w:rPr>
      </w:pPr>
      <w:r w:rsidRPr="00F92169">
        <w:rPr>
          <w:color w:val="000000"/>
          <w:szCs w:val="24"/>
        </w:rPr>
        <w:t>Végezetül meg kell említeni</w:t>
      </w:r>
      <w:r w:rsidR="006C2E2C" w:rsidRPr="00F92169">
        <w:rPr>
          <w:color w:val="000000"/>
          <w:szCs w:val="24"/>
        </w:rPr>
        <w:t xml:space="preserve">, hogy az </w:t>
      </w:r>
      <w:proofErr w:type="spellStart"/>
      <w:r w:rsidR="006C2E2C" w:rsidRPr="00F92169">
        <w:rPr>
          <w:color w:val="000000"/>
          <w:szCs w:val="24"/>
        </w:rPr>
        <w:t>InSAR</w:t>
      </w:r>
      <w:proofErr w:type="spellEnd"/>
      <w:r w:rsidR="006C2E2C" w:rsidRPr="00F92169">
        <w:rPr>
          <w:color w:val="000000"/>
          <w:szCs w:val="24"/>
        </w:rPr>
        <w:t xml:space="preserve"> feldolgozások eredményei </w:t>
      </w:r>
      <w:proofErr w:type="gramStart"/>
      <w:r w:rsidR="006C2E2C" w:rsidRPr="00F92169">
        <w:rPr>
          <w:color w:val="000000"/>
          <w:szCs w:val="24"/>
        </w:rPr>
        <w:t>teljes körűen</w:t>
      </w:r>
      <w:proofErr w:type="gramEnd"/>
      <w:r w:rsidR="006C2E2C" w:rsidRPr="00F92169">
        <w:rPr>
          <w:color w:val="000000"/>
          <w:szCs w:val="24"/>
        </w:rPr>
        <w:t xml:space="preserve"> integrálhatók Nemzeti Alkalmazkodási Térinformatikai Rendszerbe</w:t>
      </w:r>
      <w:r w:rsidR="004C3DF1" w:rsidRPr="00F92169">
        <w:rPr>
          <w:color w:val="000000"/>
          <w:szCs w:val="24"/>
        </w:rPr>
        <w:t xml:space="preserve"> (NATÉR)</w:t>
      </w:r>
      <w:r w:rsidR="006C2E2C" w:rsidRPr="00F92169">
        <w:rPr>
          <w:color w:val="000000"/>
          <w:szCs w:val="24"/>
        </w:rPr>
        <w:t>, hiszen a feldolgozott műholdradar-adatok technikai kihívások nélkül megjeleníthetőek és értelmezhetőek.</w:t>
      </w:r>
    </w:p>
    <w:p w14:paraId="34CE0A41" w14:textId="77777777" w:rsidR="006C2E2C" w:rsidRPr="00F92169" w:rsidRDefault="006C2E2C" w:rsidP="00F92169">
      <w:pPr>
        <w:rPr>
          <w:color w:val="000000"/>
          <w:szCs w:val="24"/>
        </w:rPr>
      </w:pPr>
    </w:p>
    <w:p w14:paraId="17BC81DD" w14:textId="77777777" w:rsidR="00651D5E" w:rsidRPr="00592227" w:rsidRDefault="00651D5E" w:rsidP="006D5975">
      <w:pPr>
        <w:pStyle w:val="Cmsor1"/>
      </w:pPr>
      <w:bookmarkStart w:id="7" w:name="_Toc147484190"/>
      <w:r w:rsidRPr="00592227">
        <w:lastRenderedPageBreak/>
        <w:t>5. Az elvégzett éghajlati és földtani sérülékenység-vizsgálatok logikai alapja a CIVAS modell és összetevőinek bemutatása</w:t>
      </w:r>
      <w:bookmarkEnd w:id="7"/>
      <w:r w:rsidRPr="00592227">
        <w:t xml:space="preserve">  </w:t>
      </w:r>
    </w:p>
    <w:p w14:paraId="62EBF3C5" w14:textId="77777777" w:rsidR="00651D5E" w:rsidRPr="00F92169" w:rsidRDefault="00651D5E" w:rsidP="00F92169">
      <w:pPr>
        <w:rPr>
          <w:color w:val="000000"/>
          <w:szCs w:val="24"/>
        </w:rPr>
      </w:pPr>
    </w:p>
    <w:p w14:paraId="602E849A" w14:textId="77777777" w:rsidR="00651D5E" w:rsidRPr="00F92169" w:rsidRDefault="00651D5E" w:rsidP="00F92169">
      <w:pPr>
        <w:rPr>
          <w:szCs w:val="24"/>
        </w:rPr>
      </w:pPr>
      <w:r w:rsidRPr="00F92169">
        <w:rPr>
          <w:szCs w:val="24"/>
        </w:rPr>
        <w:t>Az éghajlati sérülékenység-vizsgálatok módszertana azon a megfigyelésen és megállapításon alapul, hogy a klímaváltozás által egy adott hatásviselőn (például energetikai rendszerelemen) okozott közvetlen és közvetett károk mértéke nem kizárólag a klímahatás nagyságától, hanem egyéb, a hatásviselőt jellemző faktoroktól is függ. Az egyes rendszerek (például: területek/térségek, ágazatok, létesítmények, egyéb hatásviselők stb.) klímaváltozással, illetve annak következményeivel szembeni sebezhetőségének vizsgálatához egy lehetséges eszköz az éghajlati sérülékenység-vizsgálat, ami az éghajlati hatások teljes láncolatának (közvetlen éghajlati hatások, közvetett hatások, társadalmi–gazdasági következmények) megismerésére épül és a kitettség, érzékenység és alkalmazkodóképesség együttes értékelésén alapul, lehetővé téve egységes módszertani keret biztosítását a kvantitatív éghajlati hatásvizsgálatokhoz. Jelen vizsgálat ugyanakkor újszerű módon a hazai sekélyföldtani adottságok, folyamatok mutatóit is sokrétűen alkalmazza, vizsgálja, mint az éghajlati hatásoktól független (például kőzettani vagy lejtőadottságok) vagy bizonyos esetekben az éghajlati hatásokkal egymást erősítő, területileg eltérő adottságokat, folyamatokat (például eróziós hatások, felszínmozgások erősödése nagy csapadékok esetén).</w:t>
      </w:r>
    </w:p>
    <w:p w14:paraId="029C5B6E" w14:textId="77777777" w:rsidR="00651D5E" w:rsidRPr="00F92169" w:rsidRDefault="00651D5E" w:rsidP="00F92169">
      <w:pPr>
        <w:rPr>
          <w:szCs w:val="24"/>
        </w:rPr>
      </w:pPr>
      <w:r w:rsidRPr="00F92169">
        <w:rPr>
          <w:szCs w:val="24"/>
        </w:rPr>
        <w:t>A Nemzeti Alkalmazkodási Térinformatikai Rendszerben (NATéR) az éghajlati sérülékenység értékelésére használt módszer a CLAVIER</w:t>
      </w:r>
      <w:r w:rsidRPr="00F92169">
        <w:rPr>
          <w:szCs w:val="24"/>
          <w:vertAlign w:val="superscript"/>
        </w:rPr>
        <w:footnoteReference w:id="2"/>
      </w:r>
      <w:r w:rsidRPr="00F92169">
        <w:rPr>
          <w:szCs w:val="24"/>
        </w:rPr>
        <w:t xml:space="preserve"> nemzetközi klímakutatási projektben kidolgozott CIVAS modell (</w:t>
      </w:r>
      <w:proofErr w:type="spellStart"/>
      <w:r w:rsidRPr="00F92169">
        <w:rPr>
          <w:szCs w:val="24"/>
        </w:rPr>
        <w:t>Climate</w:t>
      </w:r>
      <w:proofErr w:type="spellEnd"/>
      <w:r w:rsidRPr="00F92169">
        <w:rPr>
          <w:szCs w:val="24"/>
        </w:rPr>
        <w:t xml:space="preserve"> </w:t>
      </w:r>
      <w:proofErr w:type="spellStart"/>
      <w:r w:rsidRPr="00F92169">
        <w:rPr>
          <w:szCs w:val="24"/>
        </w:rPr>
        <w:t>Impact</w:t>
      </w:r>
      <w:proofErr w:type="spellEnd"/>
      <w:r w:rsidRPr="00F92169">
        <w:rPr>
          <w:szCs w:val="24"/>
        </w:rPr>
        <w:t xml:space="preserve"> and </w:t>
      </w:r>
      <w:proofErr w:type="spellStart"/>
      <w:r w:rsidRPr="00F92169">
        <w:rPr>
          <w:szCs w:val="24"/>
        </w:rPr>
        <w:t>Vulnerability</w:t>
      </w:r>
      <w:proofErr w:type="spellEnd"/>
      <w:r w:rsidRPr="00F92169">
        <w:rPr>
          <w:szCs w:val="24"/>
        </w:rPr>
        <w:t xml:space="preserve"> </w:t>
      </w:r>
      <w:proofErr w:type="spellStart"/>
      <w:r w:rsidRPr="00F92169">
        <w:rPr>
          <w:szCs w:val="24"/>
        </w:rPr>
        <w:t>Assessment</w:t>
      </w:r>
      <w:proofErr w:type="spellEnd"/>
      <w:r w:rsidRPr="00F92169">
        <w:rPr>
          <w:szCs w:val="24"/>
        </w:rPr>
        <w:t xml:space="preserve"> </w:t>
      </w:r>
      <w:proofErr w:type="spellStart"/>
      <w:r w:rsidRPr="00F92169">
        <w:rPr>
          <w:szCs w:val="24"/>
        </w:rPr>
        <w:t>Scheme</w:t>
      </w:r>
      <w:proofErr w:type="spellEnd"/>
      <w:r w:rsidRPr="00F92169">
        <w:rPr>
          <w:szCs w:val="24"/>
        </w:rPr>
        <w:t>) (</w:t>
      </w:r>
      <w:r w:rsidRPr="00F92169">
        <w:rPr>
          <w:i/>
          <w:szCs w:val="24"/>
        </w:rPr>
        <w:t xml:space="preserve">Pálvölgyi </w:t>
      </w:r>
      <w:proofErr w:type="spellStart"/>
      <w:r w:rsidRPr="00F92169">
        <w:rPr>
          <w:i/>
          <w:szCs w:val="24"/>
        </w:rPr>
        <w:t>et</w:t>
      </w:r>
      <w:proofErr w:type="spellEnd"/>
      <w:r w:rsidRPr="00F92169">
        <w:rPr>
          <w:i/>
          <w:szCs w:val="24"/>
        </w:rPr>
        <w:t xml:space="preserve"> </w:t>
      </w:r>
      <w:proofErr w:type="spellStart"/>
      <w:r w:rsidRPr="00F92169">
        <w:rPr>
          <w:i/>
          <w:szCs w:val="24"/>
        </w:rPr>
        <w:t>al</w:t>
      </w:r>
      <w:proofErr w:type="spellEnd"/>
      <w:r w:rsidRPr="00F92169">
        <w:rPr>
          <w:i/>
          <w:szCs w:val="24"/>
        </w:rPr>
        <w:t>., 2008</w:t>
      </w:r>
      <w:r w:rsidRPr="00F92169">
        <w:rPr>
          <w:szCs w:val="24"/>
        </w:rPr>
        <w:t>), amely az Éghajlatváltozási Kormányközi Testület Negyedik Értékelő Jelentésében (</w:t>
      </w:r>
      <w:r w:rsidRPr="00F92169">
        <w:rPr>
          <w:i/>
          <w:szCs w:val="24"/>
        </w:rPr>
        <w:t>IPCC 2007</w:t>
      </w:r>
      <w:r w:rsidRPr="00F92169">
        <w:rPr>
          <w:szCs w:val="24"/>
        </w:rPr>
        <w:t>) közzétett megközelítésen alapul és a környezeti állapotértékelésben széles körben alkalmazott, az Európai Unióban kidolgozott vizsgálati modellhez hasonló elvet követ</w:t>
      </w:r>
      <w:r w:rsidR="00BF16AA" w:rsidRPr="00F92169">
        <w:rPr>
          <w:szCs w:val="24"/>
        </w:rPr>
        <w:t xml:space="preserve"> (4.ábra)</w:t>
      </w:r>
      <w:r w:rsidRPr="00F92169">
        <w:rPr>
          <w:szCs w:val="24"/>
        </w:rPr>
        <w:t>.</w:t>
      </w:r>
      <w:r w:rsidRPr="00F92169">
        <w:rPr>
          <w:szCs w:val="24"/>
          <w:vertAlign w:val="superscript"/>
        </w:rPr>
        <w:footnoteReference w:id="3"/>
      </w:r>
    </w:p>
    <w:p w14:paraId="53055E55" w14:textId="77777777" w:rsidR="00651D5E" w:rsidRPr="00F92169" w:rsidRDefault="00651D5E" w:rsidP="00F92169">
      <w:pPr>
        <w:rPr>
          <w:szCs w:val="24"/>
        </w:rPr>
      </w:pPr>
      <w:r w:rsidRPr="00F92169">
        <w:rPr>
          <w:szCs w:val="24"/>
        </w:rPr>
        <w:t>A modell a kitettség (</w:t>
      </w:r>
      <w:proofErr w:type="spellStart"/>
      <w:r w:rsidRPr="00F92169">
        <w:rPr>
          <w:szCs w:val="24"/>
        </w:rPr>
        <w:t>exposure</w:t>
      </w:r>
      <w:proofErr w:type="spellEnd"/>
      <w:r w:rsidRPr="00F92169">
        <w:rPr>
          <w:szCs w:val="24"/>
        </w:rPr>
        <w:t>) → érzékenység (</w:t>
      </w:r>
      <w:proofErr w:type="spellStart"/>
      <w:r w:rsidRPr="00F92169">
        <w:rPr>
          <w:szCs w:val="24"/>
        </w:rPr>
        <w:t>sensitivity</w:t>
      </w:r>
      <w:proofErr w:type="spellEnd"/>
      <w:r w:rsidRPr="00F92169">
        <w:rPr>
          <w:szCs w:val="24"/>
        </w:rPr>
        <w:t>) → várható hatás (</w:t>
      </w:r>
      <w:proofErr w:type="spellStart"/>
      <w:r w:rsidRPr="00F92169">
        <w:rPr>
          <w:szCs w:val="24"/>
        </w:rPr>
        <w:t>impact</w:t>
      </w:r>
      <w:proofErr w:type="spellEnd"/>
      <w:r w:rsidRPr="00F92169">
        <w:rPr>
          <w:szCs w:val="24"/>
        </w:rPr>
        <w:t>) → alkalmazkodóképesség (</w:t>
      </w:r>
      <w:proofErr w:type="spellStart"/>
      <w:r w:rsidRPr="00F92169">
        <w:rPr>
          <w:szCs w:val="24"/>
        </w:rPr>
        <w:t>adaptive</w:t>
      </w:r>
      <w:proofErr w:type="spellEnd"/>
      <w:r w:rsidRPr="00F92169">
        <w:rPr>
          <w:szCs w:val="24"/>
        </w:rPr>
        <w:t xml:space="preserve"> </w:t>
      </w:r>
      <w:proofErr w:type="spellStart"/>
      <w:r w:rsidRPr="00F92169">
        <w:rPr>
          <w:szCs w:val="24"/>
        </w:rPr>
        <w:t>capacity</w:t>
      </w:r>
      <w:proofErr w:type="spellEnd"/>
      <w:r w:rsidRPr="00F92169">
        <w:rPr>
          <w:szCs w:val="24"/>
        </w:rPr>
        <w:t>) → sérülékenység (</w:t>
      </w:r>
      <w:proofErr w:type="spellStart"/>
      <w:r w:rsidRPr="00F92169">
        <w:rPr>
          <w:szCs w:val="24"/>
        </w:rPr>
        <w:t>vulnerability</w:t>
      </w:r>
      <w:proofErr w:type="spellEnd"/>
      <w:r w:rsidRPr="00F92169">
        <w:rPr>
          <w:szCs w:val="24"/>
        </w:rPr>
        <w:t>) rendszerben vizsgálja az éghajlatváltozás hatásait. A módszer használatával megállapíthatjuk azt, hogy a különböző érzékenységet és alkalmazkodóképességet mutató rendszereknek az egyes klímahatások és esetünkben a földtani, valamint a komplex (éghajlati és földtani) hatások milyen mértékű sérülékenységet okoznak (</w:t>
      </w:r>
      <w:r w:rsidRPr="00F92169">
        <w:rPr>
          <w:i/>
          <w:szCs w:val="24"/>
        </w:rPr>
        <w:t>Sütő, 2016</w:t>
      </w:r>
      <w:r w:rsidRPr="00F92169">
        <w:rPr>
          <w:szCs w:val="24"/>
        </w:rPr>
        <w:t>).</w:t>
      </w:r>
    </w:p>
    <w:p w14:paraId="60A77BCC" w14:textId="77777777" w:rsidR="00651D5E" w:rsidRPr="00F92169" w:rsidRDefault="00651D5E" w:rsidP="00F92169">
      <w:pPr>
        <w:rPr>
          <w:szCs w:val="24"/>
        </w:rPr>
      </w:pPr>
      <w:r w:rsidRPr="00F92169">
        <w:rPr>
          <w:szCs w:val="24"/>
        </w:rPr>
        <w:t>A modellben használt legfontosabb fogalmak a következők (</w:t>
      </w:r>
      <w:proofErr w:type="spellStart"/>
      <w:r w:rsidRPr="00F92169">
        <w:rPr>
          <w:i/>
          <w:szCs w:val="24"/>
        </w:rPr>
        <w:t>Rotárné</w:t>
      </w:r>
      <w:proofErr w:type="spellEnd"/>
      <w:r w:rsidRPr="00F92169">
        <w:rPr>
          <w:i/>
          <w:szCs w:val="24"/>
        </w:rPr>
        <w:t xml:space="preserve"> </w:t>
      </w:r>
      <w:proofErr w:type="spellStart"/>
      <w:r w:rsidRPr="00F92169">
        <w:rPr>
          <w:i/>
          <w:szCs w:val="24"/>
        </w:rPr>
        <w:t>et</w:t>
      </w:r>
      <w:proofErr w:type="spellEnd"/>
      <w:r w:rsidRPr="00F92169">
        <w:rPr>
          <w:i/>
          <w:szCs w:val="24"/>
        </w:rPr>
        <w:t xml:space="preserve"> </w:t>
      </w:r>
      <w:proofErr w:type="spellStart"/>
      <w:r w:rsidRPr="00F92169">
        <w:rPr>
          <w:i/>
          <w:szCs w:val="24"/>
        </w:rPr>
        <w:t>al</w:t>
      </w:r>
      <w:proofErr w:type="spellEnd"/>
      <w:r w:rsidRPr="00F92169">
        <w:rPr>
          <w:i/>
          <w:szCs w:val="24"/>
        </w:rPr>
        <w:t>., 2016</w:t>
      </w:r>
      <w:r w:rsidRPr="00F92169">
        <w:rPr>
          <w:szCs w:val="24"/>
        </w:rPr>
        <w:t>):</w:t>
      </w:r>
    </w:p>
    <w:p w14:paraId="386A5BCA" w14:textId="77777777" w:rsidR="00651D5E" w:rsidRPr="004B5518" w:rsidRDefault="00651D5E" w:rsidP="004B5518">
      <w:pPr>
        <w:pStyle w:val="Listaszerbekezds"/>
        <w:widowControl/>
        <w:numPr>
          <w:ilvl w:val="0"/>
          <w:numId w:val="26"/>
        </w:numPr>
        <w:pBdr>
          <w:top w:val="nil"/>
          <w:left w:val="nil"/>
          <w:bottom w:val="nil"/>
          <w:right w:val="nil"/>
          <w:between w:val="nil"/>
        </w:pBdr>
        <w:spacing w:before="120"/>
        <w:rPr>
          <w:color w:val="000000"/>
          <w:szCs w:val="24"/>
        </w:rPr>
      </w:pPr>
      <w:r w:rsidRPr="004B5518">
        <w:rPr>
          <w:b/>
          <w:color w:val="000000"/>
          <w:szCs w:val="24"/>
        </w:rPr>
        <w:t>A kitettség</w:t>
      </w:r>
      <w:r w:rsidRPr="004B5518">
        <w:rPr>
          <w:color w:val="000000"/>
          <w:szCs w:val="24"/>
        </w:rPr>
        <w:t xml:space="preserve"> (</w:t>
      </w:r>
      <w:proofErr w:type="spellStart"/>
      <w:r w:rsidRPr="004B5518">
        <w:rPr>
          <w:color w:val="000000"/>
          <w:szCs w:val="24"/>
        </w:rPr>
        <w:t>exposure</w:t>
      </w:r>
      <w:proofErr w:type="spellEnd"/>
      <w:r w:rsidRPr="004B5518">
        <w:rPr>
          <w:color w:val="000000"/>
          <w:szCs w:val="24"/>
        </w:rPr>
        <w:t xml:space="preserve">) az egy földrajzi helyre jellemző éghajlatváltozást </w:t>
      </w:r>
      <w:r w:rsidR="0046754D" w:rsidRPr="004B5518">
        <w:rPr>
          <w:color w:val="000000"/>
          <w:szCs w:val="24"/>
        </w:rPr>
        <w:t>és/</w:t>
      </w:r>
      <w:r w:rsidRPr="004B5518">
        <w:rPr>
          <w:color w:val="000000"/>
          <w:szCs w:val="24"/>
        </w:rPr>
        <w:t>vagy fő földtani adottságokat, folyamatokat mutatja meg. A különböző regionális klímaindikátorok változásairól (pl. a hőmérséklet értékeinek szélsőségei) adatokat és információkat a korábbi meteorológiai mérési adatsorokból, illetve klímamodellekből nyerünk. A földtani</w:t>
      </w:r>
      <w:r w:rsidR="0046754D" w:rsidRPr="004B5518">
        <w:rPr>
          <w:color w:val="000000"/>
          <w:szCs w:val="24"/>
        </w:rPr>
        <w:t xml:space="preserve"> </w:t>
      </w:r>
      <w:proofErr w:type="spellStart"/>
      <w:r w:rsidR="0046754D" w:rsidRPr="004B5518">
        <w:rPr>
          <w:color w:val="000000"/>
          <w:szCs w:val="24"/>
        </w:rPr>
        <w:t>alap</w:t>
      </w:r>
      <w:r w:rsidRPr="004B5518">
        <w:rPr>
          <w:color w:val="000000"/>
          <w:szCs w:val="24"/>
        </w:rPr>
        <w:t>adatokat</w:t>
      </w:r>
      <w:proofErr w:type="spellEnd"/>
      <w:r w:rsidRPr="004B5518">
        <w:rPr>
          <w:color w:val="000000"/>
          <w:szCs w:val="24"/>
        </w:rPr>
        <w:t xml:space="preserve"> a szakigazgatás adatgazdáinak adat-, téradat- és információbázisaiból, vagy szakterületi kutatások ere</w:t>
      </w:r>
      <w:r w:rsidR="0046754D" w:rsidRPr="004B5518">
        <w:rPr>
          <w:color w:val="000000"/>
          <w:szCs w:val="24"/>
        </w:rPr>
        <w:t>dményeinek feldolgozásából kaphatju</w:t>
      </w:r>
      <w:r w:rsidRPr="004B5518">
        <w:rPr>
          <w:color w:val="000000"/>
          <w:szCs w:val="24"/>
        </w:rPr>
        <w:t>k.</w:t>
      </w:r>
    </w:p>
    <w:p w14:paraId="24F9D7B6" w14:textId="77777777" w:rsidR="00651D5E" w:rsidRPr="004B5518" w:rsidRDefault="00651D5E" w:rsidP="004B5518">
      <w:pPr>
        <w:pStyle w:val="Listaszerbekezds"/>
        <w:widowControl/>
        <w:numPr>
          <w:ilvl w:val="0"/>
          <w:numId w:val="26"/>
        </w:numPr>
        <w:pBdr>
          <w:top w:val="nil"/>
          <w:left w:val="nil"/>
          <w:bottom w:val="nil"/>
          <w:right w:val="nil"/>
          <w:between w:val="nil"/>
        </w:pBdr>
        <w:rPr>
          <w:color w:val="000000"/>
          <w:szCs w:val="24"/>
        </w:rPr>
      </w:pPr>
      <w:r w:rsidRPr="004B5518">
        <w:rPr>
          <w:b/>
          <w:color w:val="000000"/>
          <w:szCs w:val="24"/>
        </w:rPr>
        <w:t>Az érzékenység</w:t>
      </w:r>
      <w:r w:rsidRPr="004B5518">
        <w:rPr>
          <w:color w:val="000000"/>
          <w:szCs w:val="24"/>
        </w:rPr>
        <w:t xml:space="preserve"> (</w:t>
      </w:r>
      <w:proofErr w:type="spellStart"/>
      <w:r w:rsidRPr="004B5518">
        <w:rPr>
          <w:color w:val="000000"/>
          <w:szCs w:val="24"/>
        </w:rPr>
        <w:t>sensitivity</w:t>
      </w:r>
      <w:proofErr w:type="spellEnd"/>
      <w:r w:rsidRPr="004B5518">
        <w:rPr>
          <w:color w:val="000000"/>
          <w:szCs w:val="24"/>
        </w:rPr>
        <w:t xml:space="preserve">) a hatásviselő rendszer jellemzői, viselkedése az időjárás és földtani adottságok függvényében. Ezen rendszerek érzékenysége a </w:t>
      </w:r>
      <w:r w:rsidRPr="004B5518">
        <w:rPr>
          <w:color w:val="000000"/>
          <w:szCs w:val="24"/>
        </w:rPr>
        <w:lastRenderedPageBreak/>
        <w:t>klímaváltozástól, földtani adottságoktól független, és elsősorban a fizikai, műszaki paraméterekből tevődik össze.</w:t>
      </w:r>
    </w:p>
    <w:p w14:paraId="4EB319E4" w14:textId="77777777" w:rsidR="00651D5E" w:rsidRPr="004B5518" w:rsidRDefault="00651D5E" w:rsidP="004B5518">
      <w:pPr>
        <w:pStyle w:val="Listaszerbekezds"/>
        <w:widowControl/>
        <w:numPr>
          <w:ilvl w:val="0"/>
          <w:numId w:val="26"/>
        </w:numPr>
        <w:pBdr>
          <w:top w:val="nil"/>
          <w:left w:val="nil"/>
          <w:bottom w:val="nil"/>
          <w:right w:val="nil"/>
          <w:between w:val="nil"/>
        </w:pBdr>
        <w:rPr>
          <w:color w:val="000000"/>
          <w:szCs w:val="24"/>
        </w:rPr>
      </w:pPr>
      <w:r w:rsidRPr="004B5518">
        <w:rPr>
          <w:b/>
          <w:color w:val="000000"/>
          <w:szCs w:val="24"/>
        </w:rPr>
        <w:t>A várható hatás</w:t>
      </w:r>
      <w:r w:rsidRPr="004B5518">
        <w:rPr>
          <w:color w:val="000000"/>
          <w:szCs w:val="24"/>
        </w:rPr>
        <w:t xml:space="preserve"> (</w:t>
      </w:r>
      <w:proofErr w:type="spellStart"/>
      <w:r w:rsidRPr="004B5518">
        <w:rPr>
          <w:color w:val="000000"/>
          <w:szCs w:val="24"/>
        </w:rPr>
        <w:t>potential</w:t>
      </w:r>
      <w:proofErr w:type="spellEnd"/>
      <w:r w:rsidRPr="004B5518">
        <w:rPr>
          <w:color w:val="000000"/>
          <w:szCs w:val="24"/>
        </w:rPr>
        <w:t xml:space="preserve"> </w:t>
      </w:r>
      <w:proofErr w:type="spellStart"/>
      <w:r w:rsidRPr="004B5518">
        <w:rPr>
          <w:color w:val="000000"/>
          <w:szCs w:val="24"/>
        </w:rPr>
        <w:t>impact</w:t>
      </w:r>
      <w:proofErr w:type="spellEnd"/>
      <w:r w:rsidRPr="004B5518">
        <w:rPr>
          <w:color w:val="000000"/>
          <w:szCs w:val="24"/>
        </w:rPr>
        <w:t>) a kitettség és az érzékenység kombinációjaként határozható meg, amely egyaránt jellemző a földrajzi helyre és a vizsgált hatásviselő rendszerre, rendszerelemekre.</w:t>
      </w:r>
    </w:p>
    <w:p w14:paraId="182CAC2C" w14:textId="77777777" w:rsidR="00651D5E" w:rsidRPr="004B5518" w:rsidRDefault="00651D5E" w:rsidP="004B5518">
      <w:pPr>
        <w:pStyle w:val="Listaszerbekezds"/>
        <w:widowControl/>
        <w:numPr>
          <w:ilvl w:val="0"/>
          <w:numId w:val="26"/>
        </w:numPr>
        <w:pBdr>
          <w:top w:val="nil"/>
          <w:left w:val="nil"/>
          <w:bottom w:val="nil"/>
          <w:right w:val="nil"/>
          <w:between w:val="nil"/>
        </w:pBdr>
        <w:rPr>
          <w:color w:val="000000"/>
          <w:szCs w:val="24"/>
        </w:rPr>
      </w:pPr>
      <w:r w:rsidRPr="004B5518">
        <w:rPr>
          <w:b/>
          <w:color w:val="000000"/>
          <w:szCs w:val="24"/>
        </w:rPr>
        <w:t>Az alkalmazkodóképesség</w:t>
      </w:r>
      <w:r w:rsidRPr="004B5518">
        <w:rPr>
          <w:color w:val="000000"/>
          <w:szCs w:val="24"/>
        </w:rPr>
        <w:t xml:space="preserve"> (</w:t>
      </w:r>
      <w:proofErr w:type="spellStart"/>
      <w:r w:rsidRPr="004B5518">
        <w:rPr>
          <w:color w:val="000000"/>
          <w:szCs w:val="24"/>
        </w:rPr>
        <w:t>adaptive</w:t>
      </w:r>
      <w:proofErr w:type="spellEnd"/>
      <w:r w:rsidRPr="004B5518">
        <w:rPr>
          <w:color w:val="000000"/>
          <w:szCs w:val="24"/>
        </w:rPr>
        <w:t xml:space="preserve"> </w:t>
      </w:r>
      <w:proofErr w:type="spellStart"/>
      <w:r w:rsidRPr="004B5518">
        <w:rPr>
          <w:color w:val="000000"/>
          <w:szCs w:val="24"/>
        </w:rPr>
        <w:t>capacity</w:t>
      </w:r>
      <w:proofErr w:type="spellEnd"/>
      <w:r w:rsidRPr="004B5518">
        <w:rPr>
          <w:color w:val="000000"/>
          <w:szCs w:val="24"/>
        </w:rPr>
        <w:t>) olyan nem-klimatikus tényező, amely magába foglalja a klímaváltozásra adott például helyi vagy vállalati társadalmi-gazdasági válaszokat és alkalmazkodási stratégiákat, eszközöket, amelyek célja a kedvezőtlen hatások enyhítése.</w:t>
      </w:r>
    </w:p>
    <w:p w14:paraId="315F5D16" w14:textId="77777777" w:rsidR="00651D5E" w:rsidRPr="004B5518" w:rsidRDefault="00651D5E" w:rsidP="004B5518">
      <w:pPr>
        <w:pStyle w:val="Listaszerbekezds"/>
        <w:widowControl/>
        <w:numPr>
          <w:ilvl w:val="0"/>
          <w:numId w:val="26"/>
        </w:numPr>
        <w:pBdr>
          <w:top w:val="nil"/>
          <w:left w:val="nil"/>
          <w:bottom w:val="nil"/>
          <w:right w:val="nil"/>
          <w:between w:val="nil"/>
        </w:pBdr>
        <w:spacing w:after="120"/>
        <w:rPr>
          <w:color w:val="000000"/>
          <w:szCs w:val="24"/>
        </w:rPr>
      </w:pPr>
      <w:r w:rsidRPr="004B5518">
        <w:rPr>
          <w:b/>
          <w:color w:val="000000"/>
          <w:szCs w:val="24"/>
        </w:rPr>
        <w:t>A sérülékenység</w:t>
      </w:r>
      <w:r w:rsidRPr="004B5518">
        <w:rPr>
          <w:color w:val="000000"/>
          <w:szCs w:val="24"/>
        </w:rPr>
        <w:t xml:space="preserve"> (</w:t>
      </w:r>
      <w:proofErr w:type="spellStart"/>
      <w:r w:rsidRPr="004B5518">
        <w:rPr>
          <w:color w:val="000000"/>
          <w:szCs w:val="24"/>
        </w:rPr>
        <w:t>vulnerability</w:t>
      </w:r>
      <w:proofErr w:type="spellEnd"/>
      <w:r w:rsidRPr="004B5518">
        <w:rPr>
          <w:color w:val="000000"/>
          <w:szCs w:val="24"/>
        </w:rPr>
        <w:t>) komplex mutató, amely kombinálja esetünkben az éghajlati és földtani kitettséget, az érzékenységet, valamint az alkalmazkodóképességet. Megmutatja, hogy ugyanaz a várható hatás egy gyengébb alkalmazkodóképességű térségben, rendszerben súlyosabb következményekkel járhat.</w:t>
      </w:r>
    </w:p>
    <w:p w14:paraId="6A1ECF42" w14:textId="77777777" w:rsidR="00F92169" w:rsidRPr="00592227" w:rsidRDefault="00F92169" w:rsidP="00F92169">
      <w:pPr>
        <w:keepNext/>
        <w:ind w:firstLine="0"/>
        <w:jc w:val="center"/>
        <w:rPr>
          <w:sz w:val="22"/>
          <w:szCs w:val="22"/>
        </w:rPr>
      </w:pPr>
      <w:r w:rsidRPr="00592227">
        <w:rPr>
          <w:noProof/>
          <w:sz w:val="22"/>
          <w:szCs w:val="22"/>
          <w:lang w:eastAsia="hu-HU"/>
        </w:rPr>
        <w:drawing>
          <wp:inline distT="0" distB="0" distL="0" distR="0" wp14:anchorId="59265E0E" wp14:editId="2FF32CB5">
            <wp:extent cx="2759655" cy="3190240"/>
            <wp:effectExtent l="0" t="0" r="317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8529" cy="3200498"/>
                    </a:xfrm>
                    <a:prstGeom prst="rect">
                      <a:avLst/>
                    </a:prstGeom>
                    <a:noFill/>
                    <a:ln>
                      <a:noFill/>
                    </a:ln>
                  </pic:spPr>
                </pic:pic>
              </a:graphicData>
            </a:graphic>
          </wp:inline>
        </w:drawing>
      </w:r>
    </w:p>
    <w:p w14:paraId="3B020FD6" w14:textId="77777777" w:rsidR="00F92169" w:rsidRPr="00592227" w:rsidRDefault="00F92169" w:rsidP="00F92169">
      <w:pPr>
        <w:pStyle w:val="Kpalrs"/>
        <w:rPr>
          <w:szCs w:val="22"/>
        </w:rPr>
      </w:pPr>
      <w:r w:rsidRPr="00592227">
        <w:rPr>
          <w:b/>
          <w:szCs w:val="22"/>
        </w:rPr>
        <w:t>4. ábra.</w:t>
      </w:r>
      <w:r w:rsidRPr="00592227">
        <w:rPr>
          <w:szCs w:val="22"/>
        </w:rPr>
        <w:t xml:space="preserve"> A CIVAS modell elvi felépítése</w:t>
      </w:r>
      <w:r w:rsidRPr="00592227">
        <w:rPr>
          <w:szCs w:val="22"/>
        </w:rPr>
        <w:br/>
        <w:t>Forrás: Sütő A., 2016, 12.o.</w:t>
      </w:r>
    </w:p>
    <w:p w14:paraId="76ABFC32" w14:textId="77777777" w:rsidR="00F92169" w:rsidRDefault="00F92169" w:rsidP="00F92169">
      <w:pPr>
        <w:rPr>
          <w:szCs w:val="24"/>
        </w:rPr>
      </w:pPr>
    </w:p>
    <w:p w14:paraId="23EB31D5" w14:textId="3B6D99A4" w:rsidR="00651D5E" w:rsidRPr="00F92169" w:rsidRDefault="00651D5E" w:rsidP="00F92169">
      <w:r w:rsidRPr="00F92169">
        <w:t>Jelen projektben az éghajlati sérülékenységvizsgálat módszerét adaptáltuk a kritikus energetikai infrastruktúrák egyes rendszereire és elemeikre (villamosenergia-, földgáz-, távhőrendszerek) abból a célból, hogy az éghajlatváltozás és a földtani adottságok, folyamatok energiaszolgáltatásokat veszélyeztető hatásait jellemezzük, bemutassuk és elemezzük.</w:t>
      </w:r>
    </w:p>
    <w:p w14:paraId="3FE9F23F" w14:textId="77777777" w:rsidR="00BF16AA" w:rsidRPr="00F92169" w:rsidRDefault="00BF16AA" w:rsidP="00F92169"/>
    <w:p w14:paraId="1F72F646" w14:textId="77777777" w:rsidR="00BF16AA" w:rsidRPr="00592227" w:rsidRDefault="00BF16AA" w:rsidP="00EB300D">
      <w:pPr>
        <w:ind w:firstLine="0"/>
        <w:rPr>
          <w:color w:val="000000"/>
          <w:sz w:val="22"/>
          <w:szCs w:val="22"/>
        </w:rPr>
      </w:pPr>
      <w:r w:rsidRPr="00592227">
        <w:rPr>
          <w:color w:val="000000"/>
          <w:sz w:val="22"/>
          <w:szCs w:val="22"/>
        </w:rPr>
        <w:br w:type="page"/>
      </w:r>
    </w:p>
    <w:p w14:paraId="4062B0E8" w14:textId="77777777" w:rsidR="00EB300D" w:rsidRPr="00592227" w:rsidRDefault="00651D5E" w:rsidP="006D5975">
      <w:pPr>
        <w:pStyle w:val="Cmsor1"/>
      </w:pPr>
      <w:bookmarkStart w:id="8" w:name="_Toc147484191"/>
      <w:r w:rsidRPr="00592227">
        <w:lastRenderedPageBreak/>
        <w:t>6</w:t>
      </w:r>
      <w:r w:rsidR="00EB300D" w:rsidRPr="00592227">
        <w:t xml:space="preserve">. </w:t>
      </w:r>
      <w:r w:rsidR="00497159" w:rsidRPr="00592227">
        <w:t>Az éghajlati és földtani vizsgálatok fő munkafázisai és eredményei</w:t>
      </w:r>
      <w:bookmarkEnd w:id="8"/>
    </w:p>
    <w:p w14:paraId="34F230F5" w14:textId="77777777" w:rsidR="0046754D" w:rsidRPr="00F92169" w:rsidRDefault="0046754D" w:rsidP="00F92169">
      <w:r w:rsidRPr="00F92169">
        <w:t>Az alábbiakban a kiválasztott négy hazai energetikai infrastruktúra-rendszerre szakmai partnereink segítségével elkészített vizsgálatok kitettségi, érzékenységi, várható hatás és ahol erre sor kerülhetett az alkalmazkodóképességi és a komplex sérülékenységi térképeit, elemzésüket mutatjuk be. Az alapadatok számos adatbázisból így a szakmai partnerek adatátadásaiból, eseti vizsgálataiból, szabadon hozzáférhető éghajlati adatbázisok adataiból, valamint a korábbi Magyar Bányászati és Földtani Szolgálat (MBFSZ) és elődjeinek (például: MÁFI, MFGI) adatbázisaiból és tematikus kutatásainak feldolgozásaiból származnak.</w:t>
      </w:r>
    </w:p>
    <w:p w14:paraId="61CDCEAD" w14:textId="77777777" w:rsidR="00A07353" w:rsidRPr="00F92169" w:rsidRDefault="00A07353" w:rsidP="00F92169"/>
    <w:p w14:paraId="3CA96C67" w14:textId="77777777" w:rsidR="00A07353" w:rsidRPr="00592227" w:rsidRDefault="00651D5E" w:rsidP="006D5975">
      <w:pPr>
        <w:pStyle w:val="Cmsor2"/>
      </w:pPr>
      <w:bookmarkStart w:id="9" w:name="_Toc147484192"/>
      <w:r w:rsidRPr="00592227">
        <w:t>6</w:t>
      </w:r>
      <w:r w:rsidR="00A07353" w:rsidRPr="00592227">
        <w:t>.1. A jövőben várható klimatológiai változásokkal kapcsolatos kitettség vizsgálata</w:t>
      </w:r>
      <w:bookmarkEnd w:id="9"/>
    </w:p>
    <w:p w14:paraId="3572B269" w14:textId="77777777" w:rsidR="00A07353" w:rsidRPr="00F92169" w:rsidRDefault="00A07353" w:rsidP="00A07353">
      <w:r w:rsidRPr="00F92169">
        <w:t>Az épített környezet, így az energetikai infrastruktúra legtöbb eleme is érzékeny az éghajlatváltozás okozta szélsőségesebb vagy a jelenlegihez képest jelentősen megváltozott időjárási helyzetekre. Az ember jövőbeli gazdasági és társadalmi folyamatai csak hipotetikus forgatókönyvek mentén írhatók le, ugyanakkor globális klímamodellekkel számszerű választ tudunk adni arra, hogy a teljes földi éghajlati rendszer hogyan reagál egy megváltozott jövőbeli üvegházgáz-koncentrációra és az általa kiváltott extra sugárzási kényszerre. Ezek hazánkra vonatkozó eredményeit pedig regionális éghajlati modellek által érhetjük el. A kitettség-érzékenység-várható hatás rendszerében egyértelműen az éghajlati kitettség, azaz az adott földrajzi helyre jellemző éghajlatváltozás az, amely változó elemként az infrastruktúra rendszer sérülékenységet leginkább befolyásolja.</w:t>
      </w:r>
    </w:p>
    <w:p w14:paraId="0D3CEC97" w14:textId="77777777" w:rsidR="00A07353" w:rsidRPr="00F92169" w:rsidRDefault="00A07353" w:rsidP="00F92169">
      <w:r w:rsidRPr="00F92169">
        <w:t>A klimatológiai vizsgálat és elemzés kidolgozása során a következő főbb lépések mentén haladtunk:</w:t>
      </w:r>
    </w:p>
    <w:p w14:paraId="4A6327D9" w14:textId="77777777" w:rsidR="00A07353" w:rsidRPr="00F92169" w:rsidRDefault="00A07353" w:rsidP="00F92169">
      <w:pPr>
        <w:pStyle w:val="Listaszerbekezds"/>
        <w:numPr>
          <w:ilvl w:val="0"/>
          <w:numId w:val="15"/>
        </w:numPr>
        <w:rPr>
          <w:b/>
          <w:bCs/>
          <w:szCs w:val="24"/>
        </w:rPr>
      </w:pPr>
      <w:r w:rsidRPr="00F92169">
        <w:rPr>
          <w:szCs w:val="24"/>
        </w:rPr>
        <w:t>A „NATéR továbbfejlesztése” című, KEHOP-1.1.0-15-2016-00007 azonosítószámú projektben megkezdett, a távhő-, földgáz- és villamosenergia-ellátás éghajlati sérülékenységét vizsgáló módszertan áttekintése.</w:t>
      </w:r>
    </w:p>
    <w:p w14:paraId="5870D1D3" w14:textId="77777777" w:rsidR="00A07353" w:rsidRPr="00F92169" w:rsidRDefault="00A07353" w:rsidP="00F92169">
      <w:pPr>
        <w:pStyle w:val="Listaszerbekezds"/>
        <w:numPr>
          <w:ilvl w:val="0"/>
          <w:numId w:val="15"/>
        </w:numPr>
        <w:rPr>
          <w:b/>
          <w:bCs/>
          <w:szCs w:val="24"/>
        </w:rPr>
      </w:pPr>
      <w:r w:rsidRPr="00F92169">
        <w:rPr>
          <w:szCs w:val="24"/>
        </w:rPr>
        <w:t>A nemzetközi szakirodalom összegyűjtése és áttekintése, amely elsősorban az energetikai infrastruktúra élettartamának és a kapacitás időszakos vagy tartós csökkenését vizsgálta az éghajlatváltozás extrém eseményeinek tükrében.</w:t>
      </w:r>
    </w:p>
    <w:p w14:paraId="60F33589" w14:textId="77777777" w:rsidR="00A07353" w:rsidRPr="00F92169" w:rsidRDefault="00A07353" w:rsidP="00F92169">
      <w:pPr>
        <w:pStyle w:val="Listaszerbekezds"/>
        <w:numPr>
          <w:ilvl w:val="0"/>
          <w:numId w:val="15"/>
        </w:numPr>
        <w:rPr>
          <w:b/>
          <w:bCs/>
          <w:szCs w:val="24"/>
        </w:rPr>
      </w:pPr>
      <w:r w:rsidRPr="00F92169">
        <w:rPr>
          <w:szCs w:val="24"/>
        </w:rPr>
        <w:t>Indikátorlista összeállítása, amely során 32, hazánkban potenciálisan megjelenő és káros, illetve jelentős hatással bíró indexet definiáltunk.</w:t>
      </w:r>
    </w:p>
    <w:p w14:paraId="44710FC9" w14:textId="77777777" w:rsidR="00A07353" w:rsidRPr="00F92169" w:rsidRDefault="00A07353" w:rsidP="00F92169">
      <w:pPr>
        <w:pStyle w:val="Listaszerbekezds"/>
        <w:numPr>
          <w:ilvl w:val="0"/>
          <w:numId w:val="15"/>
        </w:numPr>
        <w:rPr>
          <w:b/>
          <w:bCs/>
          <w:szCs w:val="24"/>
        </w:rPr>
      </w:pPr>
      <w:r w:rsidRPr="00F92169">
        <w:rPr>
          <w:szCs w:val="24"/>
        </w:rPr>
        <w:t>Az ehhez szükséges 11 napi és további napon belüli (3 vagy 6 órás) alapváltozó meghatározása.</w:t>
      </w:r>
    </w:p>
    <w:p w14:paraId="752C8F5D" w14:textId="77777777" w:rsidR="00A07353" w:rsidRPr="00F92169" w:rsidRDefault="00A07353" w:rsidP="00F92169">
      <w:pPr>
        <w:pStyle w:val="Listaszerbekezds"/>
        <w:numPr>
          <w:ilvl w:val="0"/>
          <w:numId w:val="15"/>
        </w:numPr>
        <w:rPr>
          <w:b/>
          <w:bCs/>
          <w:szCs w:val="24"/>
        </w:rPr>
      </w:pPr>
      <w:r w:rsidRPr="00F92169">
        <w:rPr>
          <w:szCs w:val="24"/>
        </w:rPr>
        <w:t xml:space="preserve">Az elérhető, különböző minőségű megfigyelési adatbázisok vizsgálata, a hibásak lehetséges szűrése – hiszen nem mindegy, hogy pl. az átlaghőmérséklet csak a minimum- és maximumhőmérséklet átlagaként van számítva; vagy a </w:t>
      </w:r>
      <w:proofErr w:type="spellStart"/>
      <w:r w:rsidRPr="00F92169">
        <w:rPr>
          <w:szCs w:val="24"/>
        </w:rPr>
        <w:t>globálsugárzás</w:t>
      </w:r>
      <w:proofErr w:type="spellEnd"/>
      <w:r w:rsidRPr="00F92169">
        <w:rPr>
          <w:szCs w:val="24"/>
        </w:rPr>
        <w:t xml:space="preserve"> csupán 2001-től elérhető részletes felbontással.</w:t>
      </w:r>
    </w:p>
    <w:p w14:paraId="3187EDC5" w14:textId="77777777" w:rsidR="00A07353" w:rsidRPr="00F92169" w:rsidRDefault="00A07353" w:rsidP="00F92169">
      <w:pPr>
        <w:pStyle w:val="Listaszerbekezds"/>
        <w:numPr>
          <w:ilvl w:val="0"/>
          <w:numId w:val="15"/>
        </w:numPr>
        <w:rPr>
          <w:b/>
          <w:bCs/>
          <w:szCs w:val="24"/>
        </w:rPr>
      </w:pPr>
      <w:r w:rsidRPr="00F92169">
        <w:rPr>
          <w:szCs w:val="24"/>
        </w:rPr>
        <w:t xml:space="preserve">Az elérhető regionális klímamodellek feltérképezése a Duna-vízgyűjtőjére, melyeknél figyelembe vettük a modellek függetlenségét (elkerülendő a két azonos családból származó modell várhatóan hasonló eredménye), az összes változó elérhetőségét és a szükséges két jövőbeli forgatókönyv meglétét. </w:t>
      </w:r>
    </w:p>
    <w:p w14:paraId="12CAACA0" w14:textId="77777777" w:rsidR="00A07353" w:rsidRPr="00F92169" w:rsidRDefault="00A07353" w:rsidP="00F92169">
      <w:pPr>
        <w:pStyle w:val="Listaszerbekezds"/>
        <w:numPr>
          <w:ilvl w:val="0"/>
          <w:numId w:val="15"/>
        </w:numPr>
        <w:rPr>
          <w:b/>
          <w:bCs/>
          <w:szCs w:val="24"/>
        </w:rPr>
      </w:pPr>
      <w:r w:rsidRPr="00F92169">
        <w:rPr>
          <w:szCs w:val="24"/>
        </w:rPr>
        <w:t xml:space="preserve">Az indikátorlista véglegesítése előtt több lépcsőben szükség volt az egyes szakterületek hazai képviselőit is bevonni, mellyel összeállt a villamosenergia átviteli hálózatára vett 9, a nagynyomású földgázvezetékekre és felszíni létesítményire tekintett 3-3, a kiválasztott távhőkörzetekre és vezetékekre ható legfőbb 5 éghajlati indikátor. </w:t>
      </w:r>
    </w:p>
    <w:p w14:paraId="6A40E2F8" w14:textId="113432BC" w:rsidR="37B5FE3D" w:rsidRPr="00F92169" w:rsidRDefault="00BF76F1" w:rsidP="00F92169">
      <w:pPr>
        <w:pStyle w:val="Listaszerbekezds"/>
        <w:numPr>
          <w:ilvl w:val="0"/>
          <w:numId w:val="15"/>
        </w:numPr>
        <w:rPr>
          <w:szCs w:val="24"/>
          <w:vertAlign w:val="subscript"/>
        </w:rPr>
      </w:pPr>
      <w:r w:rsidRPr="00F92169">
        <w:rPr>
          <w:szCs w:val="24"/>
        </w:rPr>
        <w:t xml:space="preserve">Mivel a klímamodellek szimulációi </w:t>
      </w:r>
      <w:proofErr w:type="spellStart"/>
      <w:r w:rsidRPr="00F92169">
        <w:rPr>
          <w:szCs w:val="24"/>
        </w:rPr>
        <w:t>változónként</w:t>
      </w:r>
      <w:proofErr w:type="spellEnd"/>
      <w:r w:rsidRPr="00F92169">
        <w:rPr>
          <w:szCs w:val="24"/>
        </w:rPr>
        <w:t xml:space="preserve"> kisebb-nagyobb hibával terheltek, ezért az ún. delta módszerrel hibakorrekció alkalmazása az indikátorokra, pl. korrigált</w:t>
      </w:r>
      <w:r w:rsidRPr="00F92169">
        <w:rPr>
          <w:szCs w:val="24"/>
          <w:vertAlign w:val="subscript"/>
        </w:rPr>
        <w:t>2021-2050</w:t>
      </w:r>
      <w:r w:rsidRPr="00F92169">
        <w:rPr>
          <w:szCs w:val="24"/>
        </w:rPr>
        <w:t>=szimuláció</w:t>
      </w:r>
      <w:r w:rsidRPr="00F92169">
        <w:rPr>
          <w:szCs w:val="24"/>
          <w:vertAlign w:val="subscript"/>
        </w:rPr>
        <w:t>2021-2050</w:t>
      </w:r>
      <w:r w:rsidRPr="00F92169">
        <w:rPr>
          <w:szCs w:val="24"/>
        </w:rPr>
        <w:t>/szimuláció</w:t>
      </w:r>
      <w:r w:rsidRPr="00F92169">
        <w:rPr>
          <w:szCs w:val="24"/>
          <w:vertAlign w:val="subscript"/>
        </w:rPr>
        <w:t>1981-2010</w:t>
      </w:r>
      <w:r w:rsidRPr="00F92169">
        <w:rPr>
          <w:szCs w:val="24"/>
        </w:rPr>
        <w:t>*megfigyelés</w:t>
      </w:r>
      <w:r w:rsidRPr="00F92169">
        <w:rPr>
          <w:szCs w:val="24"/>
          <w:vertAlign w:val="subscript"/>
        </w:rPr>
        <w:t>1981-2010</w:t>
      </w:r>
      <w:r w:rsidRPr="00F92169">
        <w:rPr>
          <w:b/>
          <w:bCs/>
          <w:szCs w:val="24"/>
        </w:rPr>
        <w:t>.</w:t>
      </w:r>
    </w:p>
    <w:p w14:paraId="3D996D7D" w14:textId="77777777" w:rsidR="00A07353" w:rsidRPr="00F92169" w:rsidRDefault="00A07353" w:rsidP="00F92169">
      <w:pPr>
        <w:pStyle w:val="Listaszerbekezds"/>
        <w:numPr>
          <w:ilvl w:val="0"/>
          <w:numId w:val="15"/>
        </w:numPr>
        <w:rPr>
          <w:b/>
          <w:bCs/>
          <w:szCs w:val="24"/>
        </w:rPr>
      </w:pPr>
      <w:r w:rsidRPr="00F92169">
        <w:rPr>
          <w:szCs w:val="24"/>
        </w:rPr>
        <w:lastRenderedPageBreak/>
        <w:t xml:space="preserve">Az adott infrastruktúra elemeinek vonatkozásában várható hatás nagysága szerinti súlyozás meghatározása az egyes indikátorokra, majd ez alapján a komplex éghajlati kitettségek számítása. Mindezeket a skálázás módszerével egy [0-1] közötti számra hozva </w:t>
      </w:r>
      <w:proofErr w:type="spellStart"/>
      <w:r w:rsidRPr="00F92169">
        <w:rPr>
          <w:szCs w:val="24"/>
        </w:rPr>
        <w:t>dimenziótlanítottuk</w:t>
      </w:r>
      <w:proofErr w:type="spellEnd"/>
      <w:r w:rsidRPr="00F92169">
        <w:rPr>
          <w:szCs w:val="24"/>
        </w:rPr>
        <w:t xml:space="preserve">, melyet egy háromosztatú skála szerint tovább kategorizáltunk. </w:t>
      </w:r>
    </w:p>
    <w:p w14:paraId="3939B822" w14:textId="77777777" w:rsidR="00A07353" w:rsidRPr="00F92169" w:rsidRDefault="00A07353" w:rsidP="00F92169">
      <w:pPr>
        <w:pStyle w:val="Listaszerbekezds"/>
        <w:numPr>
          <w:ilvl w:val="0"/>
          <w:numId w:val="15"/>
        </w:numPr>
        <w:rPr>
          <w:b/>
          <w:bCs/>
          <w:szCs w:val="24"/>
        </w:rPr>
      </w:pPr>
      <w:r w:rsidRPr="00F92169">
        <w:rPr>
          <w:szCs w:val="24"/>
        </w:rPr>
        <w:t>A hazánkra rácspontonként tekintett, legfeljebb 10 szimuláció alapján vett minimum-medián-maximum változás megjelenítéséhez szükséges volt azonos színskála és értékhatárok megadására is.</w:t>
      </w:r>
    </w:p>
    <w:p w14:paraId="3603E771" w14:textId="77777777" w:rsidR="00A07353" w:rsidRPr="00F92169" w:rsidRDefault="00A07353" w:rsidP="00F92169">
      <w:pPr>
        <w:pStyle w:val="Listaszerbekezds"/>
        <w:numPr>
          <w:ilvl w:val="0"/>
          <w:numId w:val="15"/>
        </w:numPr>
        <w:rPr>
          <w:b/>
          <w:bCs/>
          <w:szCs w:val="24"/>
        </w:rPr>
      </w:pPr>
      <w:r w:rsidRPr="00F92169">
        <w:rPr>
          <w:szCs w:val="24"/>
        </w:rPr>
        <w:t xml:space="preserve">A NATéR-be való integrálhatóság és a felhasználás könnyítése végett az adatok és térképek mögötti részletes háttérinformáció megadása a </w:t>
      </w:r>
      <w:proofErr w:type="gramStart"/>
      <w:r w:rsidRPr="00F92169">
        <w:rPr>
          <w:szCs w:val="24"/>
        </w:rPr>
        <w:t>META-adatbázisban</w:t>
      </w:r>
      <w:proofErr w:type="gramEnd"/>
      <w:r w:rsidRPr="00F92169">
        <w:rPr>
          <w:szCs w:val="24"/>
        </w:rPr>
        <w:t>.</w:t>
      </w:r>
    </w:p>
    <w:p w14:paraId="38000B44" w14:textId="77777777" w:rsidR="00A07353" w:rsidRPr="00F92169" w:rsidRDefault="00A07353" w:rsidP="003C305A">
      <w:pPr>
        <w:rPr>
          <w:szCs w:val="24"/>
        </w:rPr>
      </w:pPr>
      <w:r w:rsidRPr="00F92169">
        <w:rPr>
          <w:szCs w:val="24"/>
        </w:rPr>
        <w:t xml:space="preserve">Az éghajlati indikátorokat a múltra vonatkozóan megfigyelésekből, míg a jövőre ún. regionális klímamodellekből származtattuk. Az 1981-2010 időszakra vonatkozó megfigyelések legnagyobb részét a hazai, homogenizált (minőségileg ellenőrzött), állomási adatsorokból 10 km-es rácsra interpolált, ún. </w:t>
      </w:r>
      <w:proofErr w:type="spellStart"/>
      <w:r w:rsidRPr="00F92169">
        <w:rPr>
          <w:szCs w:val="24"/>
        </w:rPr>
        <w:t>HuClim</w:t>
      </w:r>
      <w:proofErr w:type="spellEnd"/>
      <w:r w:rsidRPr="00F92169">
        <w:rPr>
          <w:szCs w:val="24"/>
        </w:rPr>
        <w:t xml:space="preserve"> adatbázisból vettük, melyet az előző hiányakor, a napon belüli változók és a </w:t>
      </w:r>
      <w:proofErr w:type="spellStart"/>
      <w:r w:rsidRPr="00F92169">
        <w:rPr>
          <w:szCs w:val="24"/>
        </w:rPr>
        <w:t>globálsugárzás</w:t>
      </w:r>
      <w:proofErr w:type="spellEnd"/>
      <w:r w:rsidRPr="00F92169">
        <w:rPr>
          <w:szCs w:val="24"/>
        </w:rPr>
        <w:t xml:space="preserve"> esetében kiegészítettünk kvázi-megfigyelésekkel, az ún. ERA5-reanalízissel – mely sokféle megfigyelést figyelembevéve, de modellek segítségével készül.</w:t>
      </w:r>
    </w:p>
    <w:p w14:paraId="1632C7BE" w14:textId="77777777" w:rsidR="00A07353" w:rsidRPr="00F92169" w:rsidRDefault="00A07353" w:rsidP="003C305A">
      <w:pPr>
        <w:rPr>
          <w:szCs w:val="24"/>
        </w:rPr>
      </w:pPr>
      <w:r w:rsidRPr="00F92169">
        <w:rPr>
          <w:szCs w:val="24"/>
        </w:rPr>
        <w:t>A regionális klímamodellek a légköri folyamatokat a globálisnál pontosabban és a megfigyelésekkel közel azonos térbeli felbontással írják le, így azok kiválóan alkalmasak egy adott térség éghajlatának vizsgálatához. A felhasznált regionális klímamodellek historikus szimulációi nagy számban továbbra is csak 2005-ig állnak rendelkezésünkre, míg a jövőre vonatkozóan, 2006-tól azt szimulálják, hogy egy-egy feltételes üvegházgáz-kibocsátási forgatókönyvre hogyan reagál az éghajlati rendszer. A projekt során az emberi tevékenység figyelembevételére két forgatókönyvet tekintettünk: az antropogén kibocsátás-csökkentést 2040-től feltételező, ún. RCP</w:t>
      </w:r>
      <w:r w:rsidR="00651D5E" w:rsidRPr="00F92169">
        <w:rPr>
          <w:szCs w:val="24"/>
        </w:rPr>
        <w:t xml:space="preserve"> </w:t>
      </w:r>
      <w:r w:rsidRPr="00F92169">
        <w:rPr>
          <w:szCs w:val="24"/>
        </w:rPr>
        <w:t xml:space="preserve">4.5-ös forgatókönyvet, valamint a pesszimista, a 21. században </w:t>
      </w:r>
      <w:proofErr w:type="spellStart"/>
      <w:r w:rsidRPr="00F92169">
        <w:rPr>
          <w:szCs w:val="24"/>
        </w:rPr>
        <w:t>mitigáció</w:t>
      </w:r>
      <w:proofErr w:type="spellEnd"/>
      <w:r w:rsidRPr="00F92169">
        <w:rPr>
          <w:szCs w:val="24"/>
        </w:rPr>
        <w:t xml:space="preserve"> nélküli RCP</w:t>
      </w:r>
      <w:r w:rsidR="00651D5E" w:rsidRPr="00F92169">
        <w:rPr>
          <w:szCs w:val="24"/>
        </w:rPr>
        <w:t xml:space="preserve"> </w:t>
      </w:r>
      <w:r w:rsidRPr="00F92169">
        <w:rPr>
          <w:szCs w:val="24"/>
        </w:rPr>
        <w:t>8.5-öt</w:t>
      </w:r>
      <w:r w:rsidR="00BF16AA" w:rsidRPr="00F92169">
        <w:rPr>
          <w:szCs w:val="24"/>
        </w:rPr>
        <w:t xml:space="preserve"> (5.ábra)</w:t>
      </w:r>
      <w:r w:rsidRPr="00F92169">
        <w:rPr>
          <w:szCs w:val="24"/>
        </w:rPr>
        <w:t>.</w:t>
      </w:r>
    </w:p>
    <w:p w14:paraId="56606BDC" w14:textId="77777777" w:rsidR="00A07353" w:rsidRPr="00F92169" w:rsidRDefault="00A07353" w:rsidP="003C305A">
      <w:pPr>
        <w:rPr>
          <w:szCs w:val="24"/>
        </w:rPr>
      </w:pPr>
      <w:r w:rsidRPr="00F92169">
        <w:rPr>
          <w:szCs w:val="24"/>
        </w:rPr>
        <w:t>A klímamodellek folyamatos fejlesztései ellenére, azok eredményei változótól függően kisebb-nagyobb hibával terheltek a megfigyelésekkel szemben, ezért a jövőre nem egyetlen modellszimulációt, hanem egy nagyobb, legfeljebb 10 RCM által lefedett modellegyüttest tekintettünk, melyből a legnagyobb, legkisebb és medián értékét is megjelenítjük az eredmények során. Mindkét forgatókönyvre ugyanazon hat-hat európai, az EURO-CORDEX együttműködés keretében futtatott szimulációt választottuk ki, melyet kiegészítettünk két-két hazai, ELTE-s és OMSZ-os szimuláció eredményével</w:t>
      </w:r>
      <w:r w:rsidR="008170AA" w:rsidRPr="00F92169">
        <w:rPr>
          <w:szCs w:val="24"/>
        </w:rPr>
        <w:t xml:space="preserve"> (2.táblázat)</w:t>
      </w:r>
      <w:r w:rsidRPr="00F92169">
        <w:rPr>
          <w:szCs w:val="24"/>
        </w:rPr>
        <w:t>.</w:t>
      </w:r>
    </w:p>
    <w:p w14:paraId="52E56223" w14:textId="77777777" w:rsidR="00A07353" w:rsidRPr="00F92169" w:rsidRDefault="00A07353" w:rsidP="00A07353"/>
    <w:p w14:paraId="07547A01" w14:textId="77777777" w:rsidR="00A07353" w:rsidRPr="00592227" w:rsidRDefault="00A07353" w:rsidP="003C305A">
      <w:pPr>
        <w:ind w:firstLine="0"/>
        <w:jc w:val="center"/>
        <w:rPr>
          <w:b/>
          <w:bCs/>
          <w:sz w:val="22"/>
          <w:szCs w:val="22"/>
        </w:rPr>
      </w:pPr>
      <w:r w:rsidRPr="00592227">
        <w:rPr>
          <w:b/>
          <w:bCs/>
          <w:sz w:val="22"/>
          <w:szCs w:val="22"/>
        </w:rPr>
        <w:object w:dxaOrig="6705" w:dyaOrig="3184" w14:anchorId="0039A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pt;height:158.2pt" o:ole="">
            <v:imagedata r:id="rId15" o:title=""/>
          </v:shape>
          <o:OLEObject Type="Embed" ProgID="Excel.Sheet.12" ShapeID="_x0000_i1025" DrawAspect="Content" ObjectID="_1758096978" r:id="rId16"/>
        </w:object>
      </w:r>
    </w:p>
    <w:p w14:paraId="058359A5" w14:textId="77777777" w:rsidR="00A07353" w:rsidRPr="00592227" w:rsidRDefault="004C3DF1" w:rsidP="003C305A">
      <w:pPr>
        <w:tabs>
          <w:tab w:val="left" w:pos="8647"/>
        </w:tabs>
        <w:ind w:right="425" w:firstLine="0"/>
        <w:jc w:val="center"/>
        <w:rPr>
          <w:i/>
          <w:sz w:val="22"/>
          <w:szCs w:val="22"/>
        </w:rPr>
      </w:pPr>
      <w:r w:rsidRPr="00592227">
        <w:rPr>
          <w:b/>
          <w:i/>
          <w:sz w:val="22"/>
          <w:szCs w:val="22"/>
        </w:rPr>
        <w:t>2. t</w:t>
      </w:r>
      <w:r w:rsidR="0040710A" w:rsidRPr="00592227">
        <w:rPr>
          <w:b/>
          <w:i/>
          <w:sz w:val="22"/>
          <w:szCs w:val="22"/>
        </w:rPr>
        <w:t xml:space="preserve">áblázat </w:t>
      </w:r>
      <w:r w:rsidR="00A07353" w:rsidRPr="00592227">
        <w:rPr>
          <w:i/>
          <w:sz w:val="22"/>
          <w:szCs w:val="22"/>
        </w:rPr>
        <w:t>Az infrastruktúra elemeire vett éghajlati kitettségi indexek számítása során felhasznált 10 regionális klímamodell neve, a meghajtó globális modell, az adatok forrása és a belőlük számolt indikátorok száma.</w:t>
      </w:r>
    </w:p>
    <w:p w14:paraId="5043CB0F" w14:textId="77777777" w:rsidR="00A07353" w:rsidRPr="00592227" w:rsidRDefault="00A07353" w:rsidP="00A07353">
      <w:pPr>
        <w:rPr>
          <w:b/>
          <w:bCs/>
          <w:i/>
          <w:sz w:val="22"/>
          <w:szCs w:val="22"/>
        </w:rPr>
      </w:pPr>
    </w:p>
    <w:p w14:paraId="07459315" w14:textId="77777777" w:rsidR="00A07353" w:rsidRPr="00592227" w:rsidRDefault="00A07353" w:rsidP="004B5518">
      <w:pPr>
        <w:ind w:firstLine="0"/>
        <w:jc w:val="center"/>
        <w:rPr>
          <w:b/>
          <w:bCs/>
          <w:sz w:val="22"/>
          <w:szCs w:val="22"/>
        </w:rPr>
      </w:pPr>
      <w:r w:rsidRPr="00592227">
        <w:rPr>
          <w:b/>
          <w:bCs/>
          <w:noProof/>
          <w:sz w:val="22"/>
          <w:szCs w:val="22"/>
          <w:lang w:eastAsia="hu-HU"/>
        </w:rPr>
        <w:lastRenderedPageBreak/>
        <w:drawing>
          <wp:inline distT="0" distB="0" distL="0" distR="0" wp14:anchorId="4D423B64" wp14:editId="2E1C29C7">
            <wp:extent cx="2974341" cy="2421664"/>
            <wp:effectExtent l="0" t="0" r="0" b="0"/>
            <wp:docPr id="23745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7168" cy="2432108"/>
                    </a:xfrm>
                    <a:prstGeom prst="rect">
                      <a:avLst/>
                    </a:prstGeom>
                    <a:noFill/>
                  </pic:spPr>
                </pic:pic>
              </a:graphicData>
            </a:graphic>
          </wp:inline>
        </w:drawing>
      </w:r>
    </w:p>
    <w:p w14:paraId="4F0C2EC3" w14:textId="77777777" w:rsidR="00A07353" w:rsidRPr="00592227" w:rsidRDefault="004C3DF1" w:rsidP="004B5518">
      <w:pPr>
        <w:ind w:firstLine="0"/>
        <w:jc w:val="center"/>
        <w:rPr>
          <w:sz w:val="22"/>
          <w:szCs w:val="22"/>
        </w:rPr>
      </w:pPr>
      <w:r w:rsidRPr="00592227">
        <w:rPr>
          <w:b/>
          <w:i/>
          <w:sz w:val="22"/>
          <w:szCs w:val="22"/>
        </w:rPr>
        <w:t>5. ábra</w:t>
      </w:r>
      <w:r w:rsidR="00A07353" w:rsidRPr="00592227">
        <w:rPr>
          <w:sz w:val="22"/>
          <w:szCs w:val="22"/>
        </w:rPr>
        <w:t xml:space="preserve"> </w:t>
      </w:r>
      <w:r w:rsidR="00A07353" w:rsidRPr="00592227">
        <w:rPr>
          <w:i/>
          <w:sz w:val="22"/>
          <w:szCs w:val="22"/>
        </w:rPr>
        <w:t>Az éghajlati modelleredmények számítása során felhasznált hipotetikus RCP4.5 és RCP8.5 kibocsátási forgatókönyvek globális jövőbeli trendjei.</w:t>
      </w:r>
    </w:p>
    <w:p w14:paraId="6537F28F" w14:textId="77777777" w:rsidR="00A07353" w:rsidRPr="00F92169" w:rsidRDefault="00A07353" w:rsidP="00F92169"/>
    <w:p w14:paraId="551746EE" w14:textId="77777777" w:rsidR="00A07353" w:rsidRPr="00F92169" w:rsidRDefault="00651D5E" w:rsidP="00651D5E">
      <w:r w:rsidRPr="00F92169">
        <w:t xml:space="preserve">A klímatológiai vizsgálatok és elemzések főbb eredményei a következők voltak. </w:t>
      </w:r>
      <w:r w:rsidR="00A07353" w:rsidRPr="00F92169">
        <w:t xml:space="preserve">A négy fő infrastruktúra-csoportra vett komplex éghajlati kitettség előtt röviden </w:t>
      </w:r>
      <w:r w:rsidR="008170AA" w:rsidRPr="00F92169">
        <w:t>megvizsgáltuk</w:t>
      </w:r>
      <w:r w:rsidR="00095DB2" w:rsidRPr="00F92169">
        <w:t xml:space="preserve"> az azokhoz használt 11 alap</w:t>
      </w:r>
      <w:r w:rsidR="00A07353" w:rsidRPr="00F92169">
        <w:t>indikátor súl</w:t>
      </w:r>
      <w:r w:rsidR="008170AA" w:rsidRPr="00F92169">
        <w:t>yozás nélküli medián változását.</w:t>
      </w:r>
      <w:r w:rsidR="00A07353" w:rsidRPr="00F92169">
        <w:t xml:space="preserve"> Jól látszik, hogy az összes indikátor esetén a 2071-2100 időszakra és a pesszimista forgatókönyv szerint várhatjuk a legjelentősebb változásokat, míg minden esetben a közelebbi időszakban számíthatunk az 1981-2010 referenciaidőszaktól vett kisebb eltérésekre. A két kibocsátási forgatókönyv között a század végére jelentkezik a legnagyobb különbség is. Természetesen bármely indikátor esetében az országon belül jelentősebb eltérés</w:t>
      </w:r>
      <w:r w:rsidRPr="00F92169">
        <w:t>ek is előfordulnak</w:t>
      </w:r>
      <w:r w:rsidR="008170AA" w:rsidRPr="00F92169">
        <w:t xml:space="preserve"> (3.táblázat)</w:t>
      </w:r>
      <w:r w:rsidR="00A07353" w:rsidRPr="00F92169">
        <w:t>.</w:t>
      </w:r>
    </w:p>
    <w:p w14:paraId="6DFB9E20" w14:textId="77777777" w:rsidR="00A07353" w:rsidRPr="00F92169" w:rsidRDefault="00A07353" w:rsidP="00A07353"/>
    <w:p w14:paraId="70DF9E56" w14:textId="77777777" w:rsidR="00A07353" w:rsidRPr="00592227" w:rsidRDefault="00A07353" w:rsidP="00A07353">
      <w:pPr>
        <w:ind w:left="-1247"/>
        <w:rPr>
          <w:sz w:val="22"/>
          <w:szCs w:val="22"/>
        </w:rPr>
      </w:pPr>
      <w:r w:rsidRPr="00592227">
        <w:rPr>
          <w:sz w:val="22"/>
          <w:szCs w:val="22"/>
        </w:rPr>
        <w:object w:dxaOrig="10280" w:dyaOrig="3759" w14:anchorId="368B434E">
          <v:shape id="_x0000_i1026" type="#_x0000_t75" style="width:511.65pt;height:187.65pt" o:ole="">
            <v:imagedata r:id="rId18" o:title=""/>
          </v:shape>
          <o:OLEObject Type="Embed" ProgID="Excel.Sheet.12" ShapeID="_x0000_i1026" DrawAspect="Content" ObjectID="_1758096979" r:id="rId19"/>
        </w:object>
      </w:r>
    </w:p>
    <w:p w14:paraId="14E77048" w14:textId="77777777" w:rsidR="00A07353" w:rsidRPr="00592227" w:rsidRDefault="004C3DF1" w:rsidP="00A07353">
      <w:pPr>
        <w:jc w:val="center"/>
        <w:rPr>
          <w:i/>
          <w:sz w:val="22"/>
          <w:szCs w:val="22"/>
        </w:rPr>
      </w:pPr>
      <w:r w:rsidRPr="00592227">
        <w:rPr>
          <w:b/>
          <w:i/>
          <w:sz w:val="22"/>
          <w:szCs w:val="22"/>
        </w:rPr>
        <w:t>3. t</w:t>
      </w:r>
      <w:r w:rsidR="0040710A" w:rsidRPr="00592227">
        <w:rPr>
          <w:b/>
          <w:i/>
          <w:sz w:val="22"/>
          <w:szCs w:val="22"/>
        </w:rPr>
        <w:t>áblázat</w:t>
      </w:r>
      <w:r w:rsidR="00A07353" w:rsidRPr="00592227">
        <w:rPr>
          <w:sz w:val="22"/>
          <w:szCs w:val="22"/>
        </w:rPr>
        <w:t xml:space="preserve"> </w:t>
      </w:r>
      <w:r w:rsidR="00A07353" w:rsidRPr="00592227">
        <w:rPr>
          <w:i/>
          <w:sz w:val="22"/>
          <w:szCs w:val="22"/>
        </w:rPr>
        <w:t xml:space="preserve">Az </w:t>
      </w:r>
      <w:r w:rsidR="00651D5E" w:rsidRPr="00592227">
        <w:rPr>
          <w:i/>
          <w:sz w:val="22"/>
          <w:szCs w:val="22"/>
        </w:rPr>
        <w:t xml:space="preserve">energetikai </w:t>
      </w:r>
      <w:r w:rsidR="00A07353" w:rsidRPr="00592227">
        <w:rPr>
          <w:i/>
          <w:sz w:val="22"/>
          <w:szCs w:val="22"/>
        </w:rPr>
        <w:t>infrastruktúra elemeinél használt éghajlati kitettségi indikátorok és azok várható jövőbeli medián változása (+: növekedés, -: csökkenés, 0: kisebb változások) a két jövőbeli időszakra és a két forgatókönyv esetén. Referencia: 1981-2010.</w:t>
      </w:r>
    </w:p>
    <w:p w14:paraId="0744331E" w14:textId="77777777" w:rsidR="003C305A" w:rsidRPr="00592227" w:rsidRDefault="003C305A" w:rsidP="004C3DF1">
      <w:pPr>
        <w:ind w:firstLine="0"/>
        <w:rPr>
          <w:sz w:val="22"/>
          <w:szCs w:val="22"/>
        </w:rPr>
      </w:pPr>
    </w:p>
    <w:p w14:paraId="1BB9A9DD" w14:textId="3CB65076" w:rsidR="003C305A" w:rsidRPr="00592227" w:rsidRDefault="003C305A">
      <w:pPr>
        <w:widowControl/>
        <w:spacing w:after="160" w:line="259" w:lineRule="auto"/>
        <w:ind w:firstLine="0"/>
        <w:jc w:val="left"/>
        <w:rPr>
          <w:sz w:val="22"/>
          <w:szCs w:val="22"/>
        </w:rPr>
      </w:pPr>
      <w:r w:rsidRPr="00592227">
        <w:rPr>
          <w:sz w:val="22"/>
          <w:szCs w:val="22"/>
        </w:rPr>
        <w:br w:type="page"/>
      </w:r>
    </w:p>
    <w:p w14:paraId="39399C27" w14:textId="77777777" w:rsidR="003C305A" w:rsidRPr="00592227" w:rsidRDefault="003C305A" w:rsidP="004C3DF1">
      <w:pPr>
        <w:ind w:firstLine="0"/>
        <w:rPr>
          <w:sz w:val="22"/>
          <w:szCs w:val="22"/>
        </w:rPr>
      </w:pPr>
    </w:p>
    <w:tbl>
      <w:tblPr>
        <w:tblStyle w:val="Rcsostblzat"/>
        <w:tblW w:w="11058" w:type="dxa"/>
        <w:jc w:val="center"/>
        <w:tblLayout w:type="fixed"/>
        <w:tblLook w:val="04A0" w:firstRow="1" w:lastRow="0" w:firstColumn="1" w:lastColumn="0" w:noHBand="0" w:noVBand="1"/>
      </w:tblPr>
      <w:tblGrid>
        <w:gridCol w:w="426"/>
        <w:gridCol w:w="5355"/>
        <w:gridCol w:w="5277"/>
      </w:tblGrid>
      <w:tr w:rsidR="004C3DF1" w:rsidRPr="00592227" w14:paraId="6C169E82" w14:textId="77777777" w:rsidTr="008170AA">
        <w:trPr>
          <w:jc w:val="center"/>
        </w:trPr>
        <w:tc>
          <w:tcPr>
            <w:tcW w:w="426" w:type="dxa"/>
          </w:tcPr>
          <w:p w14:paraId="144A5D23" w14:textId="77777777" w:rsidR="004C3DF1" w:rsidRPr="00592227" w:rsidRDefault="004C3DF1" w:rsidP="008170AA">
            <w:pPr>
              <w:ind w:firstLine="0"/>
              <w:rPr>
                <w:sz w:val="22"/>
                <w:szCs w:val="22"/>
              </w:rPr>
            </w:pPr>
          </w:p>
        </w:tc>
        <w:tc>
          <w:tcPr>
            <w:tcW w:w="5355" w:type="dxa"/>
          </w:tcPr>
          <w:p w14:paraId="1B0A224C" w14:textId="77777777" w:rsidR="004C3DF1" w:rsidRPr="00592227" w:rsidRDefault="004C3DF1" w:rsidP="008170AA">
            <w:pPr>
              <w:ind w:firstLine="0"/>
              <w:jc w:val="center"/>
              <w:rPr>
                <w:b/>
                <w:bCs/>
                <w:sz w:val="22"/>
                <w:szCs w:val="22"/>
              </w:rPr>
            </w:pPr>
            <w:r w:rsidRPr="00592227">
              <w:rPr>
                <w:b/>
                <w:bCs/>
                <w:sz w:val="22"/>
                <w:szCs w:val="22"/>
              </w:rPr>
              <w:t>RCP4.5</w:t>
            </w:r>
          </w:p>
        </w:tc>
        <w:tc>
          <w:tcPr>
            <w:tcW w:w="5277" w:type="dxa"/>
          </w:tcPr>
          <w:p w14:paraId="70A4D640" w14:textId="77777777" w:rsidR="004C3DF1" w:rsidRPr="00592227" w:rsidRDefault="004C3DF1" w:rsidP="008170AA">
            <w:pPr>
              <w:ind w:firstLine="0"/>
              <w:jc w:val="center"/>
              <w:rPr>
                <w:b/>
                <w:bCs/>
                <w:sz w:val="22"/>
                <w:szCs w:val="22"/>
              </w:rPr>
            </w:pPr>
            <w:r w:rsidRPr="00592227">
              <w:rPr>
                <w:b/>
                <w:bCs/>
                <w:sz w:val="22"/>
                <w:szCs w:val="22"/>
              </w:rPr>
              <w:t>RCP8.5</w:t>
            </w:r>
          </w:p>
        </w:tc>
      </w:tr>
      <w:tr w:rsidR="004C3DF1" w:rsidRPr="00592227" w14:paraId="2CCEC3F1" w14:textId="77777777" w:rsidTr="008170AA">
        <w:trPr>
          <w:cantSplit/>
          <w:trHeight w:val="1134"/>
          <w:jc w:val="center"/>
        </w:trPr>
        <w:tc>
          <w:tcPr>
            <w:tcW w:w="426" w:type="dxa"/>
            <w:textDirection w:val="btLr"/>
          </w:tcPr>
          <w:p w14:paraId="5F1DC009" w14:textId="77777777" w:rsidR="004C3DF1" w:rsidRPr="00592227" w:rsidRDefault="004C3DF1" w:rsidP="008170AA">
            <w:pPr>
              <w:ind w:left="113" w:right="113" w:firstLine="0"/>
              <w:jc w:val="center"/>
              <w:rPr>
                <w:b/>
                <w:bCs/>
                <w:sz w:val="22"/>
                <w:szCs w:val="22"/>
              </w:rPr>
            </w:pPr>
            <w:r w:rsidRPr="00592227">
              <w:rPr>
                <w:b/>
                <w:bCs/>
                <w:sz w:val="22"/>
                <w:szCs w:val="22"/>
              </w:rPr>
              <w:t>2021-2050</w:t>
            </w:r>
          </w:p>
        </w:tc>
        <w:tc>
          <w:tcPr>
            <w:tcW w:w="5355" w:type="dxa"/>
          </w:tcPr>
          <w:p w14:paraId="738610EB" w14:textId="77777777" w:rsidR="004C3DF1" w:rsidRPr="00592227" w:rsidRDefault="004C3DF1" w:rsidP="008170AA">
            <w:pPr>
              <w:ind w:firstLine="0"/>
              <w:rPr>
                <w:sz w:val="22"/>
                <w:szCs w:val="22"/>
              </w:rPr>
            </w:pPr>
            <w:r w:rsidRPr="00592227">
              <w:rPr>
                <w:noProof/>
                <w:sz w:val="22"/>
                <w:szCs w:val="22"/>
                <w:lang w:eastAsia="hu-HU"/>
              </w:rPr>
              <w:drawing>
                <wp:inline distT="0" distB="0" distL="0" distR="0" wp14:anchorId="293B7787" wp14:editId="6965435E">
                  <wp:extent cx="3272400" cy="2142000"/>
                  <wp:effectExtent l="0" t="0" r="4445" b="0"/>
                  <wp:docPr id="169739619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0895"/>
                          <a:stretch/>
                        </pic:blipFill>
                        <pic:spPr bwMode="auto">
                          <a:xfrm>
                            <a:off x="0" y="0"/>
                            <a:ext cx="3272400" cy="214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77" w:type="dxa"/>
          </w:tcPr>
          <w:p w14:paraId="637805D2" w14:textId="77777777" w:rsidR="004C3DF1" w:rsidRPr="00592227" w:rsidRDefault="004C3DF1" w:rsidP="008170AA">
            <w:pPr>
              <w:ind w:firstLine="0"/>
              <w:rPr>
                <w:sz w:val="22"/>
                <w:szCs w:val="22"/>
              </w:rPr>
            </w:pPr>
            <w:r w:rsidRPr="00592227">
              <w:rPr>
                <w:noProof/>
                <w:sz w:val="22"/>
                <w:szCs w:val="22"/>
                <w:lang w:eastAsia="hu-HU"/>
              </w:rPr>
              <w:drawing>
                <wp:inline distT="0" distB="0" distL="0" distR="0" wp14:anchorId="6CD663DF" wp14:editId="77C247C3">
                  <wp:extent cx="3272400" cy="2142000"/>
                  <wp:effectExtent l="0" t="0" r="4445" b="0"/>
                  <wp:docPr id="102377337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0883"/>
                          <a:stretch/>
                        </pic:blipFill>
                        <pic:spPr bwMode="auto">
                          <a:xfrm>
                            <a:off x="0" y="0"/>
                            <a:ext cx="3272400" cy="214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3DF1" w:rsidRPr="00592227" w14:paraId="475CD156" w14:textId="77777777" w:rsidTr="008170AA">
        <w:trPr>
          <w:cantSplit/>
          <w:trHeight w:val="1134"/>
          <w:jc w:val="center"/>
        </w:trPr>
        <w:tc>
          <w:tcPr>
            <w:tcW w:w="426" w:type="dxa"/>
            <w:textDirection w:val="btLr"/>
          </w:tcPr>
          <w:p w14:paraId="64978923" w14:textId="77777777" w:rsidR="004C3DF1" w:rsidRPr="00592227" w:rsidRDefault="004C3DF1" w:rsidP="008170AA">
            <w:pPr>
              <w:ind w:left="113" w:right="113" w:firstLine="0"/>
              <w:jc w:val="center"/>
              <w:rPr>
                <w:b/>
                <w:bCs/>
                <w:sz w:val="22"/>
                <w:szCs w:val="22"/>
              </w:rPr>
            </w:pPr>
            <w:r w:rsidRPr="00592227">
              <w:rPr>
                <w:b/>
                <w:bCs/>
                <w:sz w:val="22"/>
                <w:szCs w:val="22"/>
              </w:rPr>
              <w:t>2071-2100</w:t>
            </w:r>
          </w:p>
        </w:tc>
        <w:tc>
          <w:tcPr>
            <w:tcW w:w="5355" w:type="dxa"/>
          </w:tcPr>
          <w:p w14:paraId="463F29E8" w14:textId="77777777" w:rsidR="004C3DF1" w:rsidRPr="00592227" w:rsidRDefault="004C3DF1" w:rsidP="008170AA">
            <w:pPr>
              <w:ind w:firstLine="0"/>
              <w:rPr>
                <w:sz w:val="22"/>
                <w:szCs w:val="22"/>
              </w:rPr>
            </w:pPr>
            <w:r w:rsidRPr="00592227">
              <w:rPr>
                <w:noProof/>
                <w:sz w:val="22"/>
                <w:szCs w:val="22"/>
                <w:lang w:eastAsia="hu-HU"/>
              </w:rPr>
              <w:drawing>
                <wp:inline distT="0" distB="0" distL="0" distR="0" wp14:anchorId="7347F774" wp14:editId="2AED0179">
                  <wp:extent cx="3272400" cy="2142000"/>
                  <wp:effectExtent l="0" t="0" r="4445" b="0"/>
                  <wp:docPr id="151134992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0895"/>
                          <a:stretch/>
                        </pic:blipFill>
                        <pic:spPr bwMode="auto">
                          <a:xfrm>
                            <a:off x="0" y="0"/>
                            <a:ext cx="3272400" cy="214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77" w:type="dxa"/>
          </w:tcPr>
          <w:p w14:paraId="3B7B4B86" w14:textId="77777777" w:rsidR="004C3DF1" w:rsidRPr="00592227" w:rsidRDefault="004C3DF1" w:rsidP="008170AA">
            <w:pPr>
              <w:ind w:firstLine="0"/>
              <w:rPr>
                <w:sz w:val="22"/>
                <w:szCs w:val="22"/>
              </w:rPr>
            </w:pPr>
            <w:r w:rsidRPr="00592227">
              <w:rPr>
                <w:noProof/>
                <w:sz w:val="22"/>
                <w:szCs w:val="22"/>
                <w:lang w:eastAsia="hu-HU"/>
              </w:rPr>
              <w:drawing>
                <wp:inline distT="0" distB="0" distL="0" distR="0" wp14:anchorId="615E3AD3" wp14:editId="77038F82">
                  <wp:extent cx="3272400" cy="2142000"/>
                  <wp:effectExtent l="0" t="0" r="4445" b="0"/>
                  <wp:docPr id="207339699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0883"/>
                          <a:stretch/>
                        </pic:blipFill>
                        <pic:spPr bwMode="auto">
                          <a:xfrm>
                            <a:off x="0" y="0"/>
                            <a:ext cx="3272400" cy="214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E9B6DC" w14:textId="77777777" w:rsidR="004C3DF1" w:rsidRPr="00592227" w:rsidRDefault="004C3DF1" w:rsidP="003C305A">
      <w:pPr>
        <w:ind w:firstLine="0"/>
        <w:jc w:val="center"/>
        <w:rPr>
          <w:i/>
          <w:sz w:val="22"/>
          <w:szCs w:val="22"/>
        </w:rPr>
      </w:pPr>
      <w:r w:rsidRPr="00592227">
        <w:rPr>
          <w:b/>
          <w:i/>
          <w:sz w:val="22"/>
          <w:szCs w:val="22"/>
        </w:rPr>
        <w:t>6. ábra:</w:t>
      </w:r>
      <w:r w:rsidRPr="00592227">
        <w:rPr>
          <w:i/>
          <w:sz w:val="22"/>
          <w:szCs w:val="22"/>
        </w:rPr>
        <w:t xml:space="preserve"> A villamosenergia átviteli hálózatának komplex éghajlati kitettsége a két jövőbeli időszakra és a két kibocsátási forgatókönyvre. Zöld: legfeljebb kisebb változás, sárga: közepes változás, piros: jelentős változás.</w:t>
      </w:r>
    </w:p>
    <w:p w14:paraId="3A0FF5F2" w14:textId="77777777" w:rsidR="004D28E8" w:rsidRPr="00F92169" w:rsidRDefault="004D28E8" w:rsidP="00F92169"/>
    <w:p w14:paraId="12A87F0C" w14:textId="77777777" w:rsidR="004C3DF1" w:rsidRPr="00F92169" w:rsidRDefault="004C3DF1" w:rsidP="00F92169">
      <w:r w:rsidRPr="00F92169">
        <w:t>A komplex éghajlati kitettség számítása során a medián változásokat tekintettük minden egyes indikátorra, majd ezeket a megállapított súllyal egy 0-1 közötti skálára bontva dimenziótlanítottuk. A villamosenergia átviteli hálózatára 9 indikátort választottunk ki, melyek közül a legnagyobb súllyal az éves szélsebesség maximuma és az éves maximumhőmérséklet maximuma bírt, a legkisebbel pedig a 23 mm feletti csapadékú napok és a téli csapadékintenzitás. A 2021-2050 időszakra még csak az ország kis területén várható számottevő változás, a század végére azonban az ország nagy részén az RCP4.5 szerint is közepes változások valószínűek, míg az RCP8.5 szerint az ország nagy területén jelentős változásra kell felkészülnünk</w:t>
      </w:r>
      <w:r w:rsidR="008170AA" w:rsidRPr="00F92169">
        <w:t xml:space="preserve"> (6.ábra)</w:t>
      </w:r>
      <w:r w:rsidRPr="00F92169">
        <w:t>.</w:t>
      </w:r>
    </w:p>
    <w:p w14:paraId="499D6DAD" w14:textId="77777777" w:rsidR="00A07353" w:rsidRPr="00F92169" w:rsidRDefault="00A07353" w:rsidP="00A07353">
      <w:r w:rsidRPr="00F92169">
        <w:t>Hasonló eredményeket kapunk a nagynyomású földgáz</w:t>
      </w:r>
      <w:r w:rsidR="00651D5E" w:rsidRPr="00F92169">
        <w:t>vezetékek és a felszíni földgáz létesítmények</w:t>
      </w:r>
      <w:r w:rsidRPr="00F92169">
        <w:t xml:space="preserve"> komplex kitettsége esetében (ahol leginkább az erdőtűz veszély és az órás csapadékintenzitás maximuma számít legjobban): ezeknél elsősorban az ország déli részén lehet jelentős változás a század végére az RCP8.5 szerint, míg a század közepén szinte még közepes változás sem lehet.</w:t>
      </w:r>
      <w:r w:rsidR="00651D5E" w:rsidRPr="00F92169">
        <w:t xml:space="preserve"> A távhőkörzetek</w:t>
      </w:r>
      <w:r w:rsidRPr="00F92169">
        <w:t xml:space="preserve"> esetében pedig az 5 indikátorból képzett komplex kitettségi mutató azt jelzi, hogy ugyan kisebb lehet a különbség az egyes forgatókönyvek és időszakok eredményei között, a század végére és az RCP8.5-öt követve mégis nagyobb változások is lehetnek – kivét</w:t>
      </w:r>
      <w:r w:rsidR="00847B6C" w:rsidRPr="00F92169">
        <w:t>el ez alól az ország DK-i része</w:t>
      </w:r>
      <w:r w:rsidRPr="00F92169">
        <w:t xml:space="preserve">. </w:t>
      </w:r>
    </w:p>
    <w:p w14:paraId="54CD245A" w14:textId="77777777" w:rsidR="0087531A" w:rsidRPr="00F92169" w:rsidRDefault="0087531A" w:rsidP="00F92169"/>
    <w:p w14:paraId="1231BE67" w14:textId="77777777" w:rsidR="00BF16AA" w:rsidRPr="00592227" w:rsidRDefault="00BF16AA" w:rsidP="0087531A">
      <w:pPr>
        <w:rPr>
          <w:color w:val="000000"/>
        </w:rPr>
      </w:pPr>
      <w:r w:rsidRPr="00592227">
        <w:rPr>
          <w:color w:val="000000"/>
        </w:rPr>
        <w:br w:type="page"/>
      </w:r>
    </w:p>
    <w:p w14:paraId="29E87118" w14:textId="77777777" w:rsidR="001E1AFB" w:rsidRPr="00592227" w:rsidRDefault="00651D5E" w:rsidP="006D5975">
      <w:pPr>
        <w:pStyle w:val="Cmsor2"/>
      </w:pPr>
      <w:bookmarkStart w:id="10" w:name="_Toc147484193"/>
      <w:r w:rsidRPr="00592227">
        <w:lastRenderedPageBreak/>
        <w:t>6</w:t>
      </w:r>
      <w:r w:rsidR="0087531A" w:rsidRPr="00592227">
        <w:t xml:space="preserve">.2. </w:t>
      </w:r>
      <w:r w:rsidR="001E1AFB" w:rsidRPr="00592227">
        <w:t xml:space="preserve">A földtani veszélyforrásokkal </w:t>
      </w:r>
      <w:r w:rsidR="00A07353" w:rsidRPr="00592227">
        <w:t xml:space="preserve">kapcsolatos kitettség </w:t>
      </w:r>
      <w:r w:rsidR="001E1AFB" w:rsidRPr="00592227">
        <w:t>vizsgálata</w:t>
      </w:r>
      <w:bookmarkEnd w:id="10"/>
    </w:p>
    <w:p w14:paraId="0193D11E" w14:textId="77777777" w:rsidR="0087531A" w:rsidRPr="00F92169" w:rsidRDefault="001E1AFB" w:rsidP="0087531A">
      <w:r w:rsidRPr="00F92169">
        <w:t>A projekt keretében került kidolgozásra a</w:t>
      </w:r>
      <w:r w:rsidR="0087531A" w:rsidRPr="00F92169">
        <w:t xml:space="preserve"> kritikus energetikai infrastruktúra földtani sérülékeny</w:t>
      </w:r>
      <w:r w:rsidR="00095DB2" w:rsidRPr="00F92169">
        <w:t>s</w:t>
      </w:r>
      <w:r w:rsidR="0087531A" w:rsidRPr="00F92169">
        <w:t>égének fel</w:t>
      </w:r>
      <w:r w:rsidRPr="00F92169">
        <w:t>mérésére kidolgozott módszertan</w:t>
      </w:r>
      <w:r w:rsidR="0087531A" w:rsidRPr="00F92169">
        <w:t>, valamint az ehhez rendelkez</w:t>
      </w:r>
      <w:r w:rsidRPr="00F92169">
        <w:t>ésre álló informatikai és geoadatrendszer</w:t>
      </w:r>
      <w:r w:rsidR="0087531A" w:rsidRPr="00F92169">
        <w:t>. A klasszikus földtani veszélyforrások, mint pl. felszínmozgások mellett fontos szerepük</w:t>
      </w:r>
      <w:r w:rsidR="00095DB2" w:rsidRPr="00F92169">
        <w:t xml:space="preserve"> lehet</w:t>
      </w:r>
      <w:r w:rsidR="0087531A" w:rsidRPr="00F92169">
        <w:t xml:space="preserve"> a hidrológiai, hidrogeológiai közegben jelentkező kockázati hatásoknak is. Ilyenek az árvizek, illetve a talajvíz agresszivitása, vagy szintjének, kémhatásának tartós megváltozása is.</w:t>
      </w:r>
    </w:p>
    <w:p w14:paraId="375F6C88" w14:textId="77777777" w:rsidR="0087531A" w:rsidRPr="00F92169" w:rsidRDefault="0087531A" w:rsidP="0087531A">
      <w:r w:rsidRPr="00F92169">
        <w:t xml:space="preserve">Első lépés az értékelés GIS-rendszerben történő elvégzéséhez alkalmazott számítási módszertan kialakítása, és a konkrét indikátorok meghatározása volt, </w:t>
      </w:r>
      <w:r w:rsidR="001E1AFB" w:rsidRPr="00F92169">
        <w:t>a</w:t>
      </w:r>
      <w:r w:rsidRPr="00F92169">
        <w:t xml:space="preserve">melyekkel az így definiált sérülékenység felmérése megtörtént. Ezt követő munkafázis az alapadatbázisok frissítése, fejlesztése volt, </w:t>
      </w:r>
      <w:r w:rsidR="001E1AFB" w:rsidRPr="00F92169">
        <w:t>a</w:t>
      </w:r>
      <w:r w:rsidRPr="00F92169">
        <w:t>melyet a konkrét kitettségi értékelés követett.</w:t>
      </w:r>
    </w:p>
    <w:p w14:paraId="3FD6A7D6" w14:textId="77777777" w:rsidR="0087531A" w:rsidRPr="00F92169" w:rsidRDefault="0087531A" w:rsidP="0087531A">
      <w:r w:rsidRPr="00F92169">
        <w:t xml:space="preserve">Az alapadatok az </w:t>
      </w:r>
      <w:r w:rsidR="0093215F" w:rsidRPr="00F92169">
        <w:t xml:space="preserve">egykori </w:t>
      </w:r>
      <w:r w:rsidRPr="00F92169">
        <w:t>MBFSZ felszínmozgás kataszterének tematikus rendszerezését, és fedett földtani és földtani tájbeosztás térképek adatain nyugvó fejlesztését, és GeoBank sekélyfúrási alapadatainak, valamint a hozzájuk kapcsolódó laboratóriumi vizsgálati adatok ellenőrzését, egységesítését ölelte fel.</w:t>
      </w:r>
    </w:p>
    <w:p w14:paraId="0AD3B640" w14:textId="77777777" w:rsidR="0087531A" w:rsidRPr="00F92169" w:rsidRDefault="0087531A" w:rsidP="0087531A">
      <w:r w:rsidRPr="00F92169">
        <w:t>A tanulmányban a kritikus infrastruktúra földtani kitettségét és ezen tényezők által indukált hatásait tíz fő tematika alapján vizsgáltuk. A tíz fő analitikus adatállomány tartalmi elemei egy szakértői rendszer keretében a földtani veszélyeztetettség mértékére utaló súlyozott pontértéket kaptak. Az adatok együttes hatását mutató eredménytérkép mindezen analitikus értékek térinformatikai összegzése útján jött létre.</w:t>
      </w:r>
    </w:p>
    <w:p w14:paraId="6AC7014A" w14:textId="77777777" w:rsidR="0087531A" w:rsidRPr="00F92169" w:rsidRDefault="0087531A" w:rsidP="0087531A">
      <w:r w:rsidRPr="00F92169">
        <w:t xml:space="preserve">A </w:t>
      </w:r>
      <w:r w:rsidRPr="00F92169">
        <w:rPr>
          <w:i/>
          <w:iCs/>
        </w:rPr>
        <w:t>kőzetállékonysági</w:t>
      </w:r>
      <w:r w:rsidRPr="00F92169">
        <w:t xml:space="preserve"> értékelés során a</w:t>
      </w:r>
      <w:r w:rsidR="001E1AFB" w:rsidRPr="00F92169">
        <w:t>z</w:t>
      </w:r>
      <w:r w:rsidRPr="00F92169">
        <w:t xml:space="preserve"> 100.000-es léptékű fedett földtani térképen szereplő többszáz kőzetkifejlődése 15 lit</w:t>
      </w:r>
      <w:r w:rsidR="001E1AFB" w:rsidRPr="00F92169">
        <w:t>ológiai egységbe volt sorolható</w:t>
      </w:r>
      <w:r w:rsidRPr="00F92169">
        <w:t xml:space="preserve">. Ezekhez a litológiai egységekhez 18 veszélyességi pontérték társult, melyekből három veszélyeztetettségi csoportot képeztünk. </w:t>
      </w:r>
    </w:p>
    <w:p w14:paraId="33AF2DED" w14:textId="77777777" w:rsidR="0087531A" w:rsidRPr="00F92169" w:rsidRDefault="0087531A" w:rsidP="0087531A">
      <w:r w:rsidRPr="00F92169">
        <w:t xml:space="preserve">A </w:t>
      </w:r>
      <w:r w:rsidRPr="00F92169">
        <w:rPr>
          <w:i/>
          <w:iCs/>
        </w:rPr>
        <w:t>talajtani veszélyeztetettségi</w:t>
      </w:r>
      <w:r w:rsidRPr="00F92169">
        <w:t xml:space="preserve"> térkép adatbázisát az MTA Talajtani Kutatóintézete által összeállított agrotopográfiai adatbázis adja. A talajtani veszélyeztetettség modellezéséhez az agrotopográfiai térképi foltokhoz rendelt kilenc termőhelyi tulajdonság közül a 31 egyedi genetikai talajtípust vettük alapul, melyek három veszélyességi kategóriába tartoznak</w:t>
      </w:r>
      <w:r w:rsidR="001E1AFB" w:rsidRPr="00F92169">
        <w:t>.</w:t>
      </w:r>
      <w:r w:rsidRPr="00F92169">
        <w:t xml:space="preserve"> </w:t>
      </w:r>
    </w:p>
    <w:p w14:paraId="7B33748B" w14:textId="77777777" w:rsidR="0087531A" w:rsidRPr="00F92169" w:rsidRDefault="0087531A" w:rsidP="0087531A">
      <w:r w:rsidRPr="00F92169">
        <w:t xml:space="preserve">A </w:t>
      </w:r>
      <w:r w:rsidRPr="00F92169">
        <w:rPr>
          <w:i/>
          <w:iCs/>
        </w:rPr>
        <w:t>veszélyforrás események</w:t>
      </w:r>
      <w:r w:rsidRPr="00F92169">
        <w:t xml:space="preserve"> adatbázisában szereplő anyagi kárt okozó tömegmozgások és az éghajlati tényezők közötti összefüggést Tildy</w:t>
      </w:r>
      <w:r w:rsidR="001E1AFB" w:rsidRPr="00F92169">
        <w:t xml:space="preserve"> et al. (2019) részletesen vizsgálták</w:t>
      </w:r>
      <w:r w:rsidRPr="00F92169">
        <w:t>. A felszínmozgási adatállomány aktualizálásához kapcsolódóan részletes GIS-feldolgozás is társult. Ezek eredményeként az egyes eseményekhez három szintű földtani táji kapcsolat társult, illetve a mozgásos test és feküképződménye 100.000-es léptékű EOFT térkép adataival egyeztetett minősítést kapott. A pontként ábrázolt 27 mozgástípus három veszélyességi kategóriába sorolódott, melyekhez 200 m-es pufferzóna is társult. Az események 6-os fokú súlyozási értéket kaptak.</w:t>
      </w:r>
    </w:p>
    <w:p w14:paraId="64E616B8" w14:textId="77777777" w:rsidR="0087531A" w:rsidRPr="00F92169" w:rsidRDefault="0087531A" w:rsidP="0087531A">
      <w:r w:rsidRPr="00F92169">
        <w:t xml:space="preserve">Az </w:t>
      </w:r>
      <w:r w:rsidRPr="00F92169">
        <w:rPr>
          <w:i/>
          <w:iCs/>
        </w:rPr>
        <w:t>üregbeszakadások</w:t>
      </w:r>
      <w:r w:rsidRPr="00F92169">
        <w:t xml:space="preserve"> típusai alapján kialakított — három fő kategóriára osztott —indikátorrendszer alapját a pincék, az alábányászott területek és a barlangok előfordulása adja. A különböző eredetű üregek felszíni vetületeit vettük az infrastruktúrákat esetlegesen fenyegető veszélyforrásnak, valamint kisebb veszélyeztetettségi pontértékkel ezen üregek övezetében pufferzónákat jelöltünk ki. A mesterséges üregek adatait </w:t>
      </w:r>
      <w:r w:rsidR="001E1AFB" w:rsidRPr="00F92169">
        <w:t xml:space="preserve">korábban </w:t>
      </w:r>
      <w:r w:rsidRPr="00F92169">
        <w:t xml:space="preserve">az MBFSZ által folyamatosan fejlesztett bányaüregekre és pincerendszerekre vonatkozó adatok adták. A barlangok és pufferzónáik adatait a természetvédelmi hatóság által fejlesztett barlangkataszter szolgáltatta. </w:t>
      </w:r>
    </w:p>
    <w:p w14:paraId="65FE48D0" w14:textId="77777777" w:rsidR="0087531A" w:rsidRPr="00F92169" w:rsidRDefault="0087531A" w:rsidP="0087531A">
      <w:r w:rsidRPr="00F92169">
        <w:t xml:space="preserve">Az egyes üregek felszíni vetülete 12, a pufferzónáik 6 veszélyeztetettségi pontértéket kaptak, </w:t>
      </w:r>
      <w:r w:rsidR="001E1AFB" w:rsidRPr="00F92169">
        <w:t>é</w:t>
      </w:r>
      <w:r w:rsidRPr="00F92169">
        <w:t>s az adatok összesítése során hatszoros súllyal szerepelnek. Az üregrendszerek tulajdonságainak különbségei indokolják a veszélyességi övezet szélességeinek 100–300 m között változó eléréseit.</w:t>
      </w:r>
    </w:p>
    <w:p w14:paraId="11E15747" w14:textId="77777777" w:rsidR="0087531A" w:rsidRPr="00F92169" w:rsidRDefault="0087531A" w:rsidP="0087531A">
      <w:r w:rsidRPr="00F92169">
        <w:t xml:space="preserve">Az </w:t>
      </w:r>
      <w:r w:rsidRPr="00F92169">
        <w:rPr>
          <w:i/>
          <w:iCs/>
        </w:rPr>
        <w:t>üledékfelhalmozódás</w:t>
      </w:r>
      <w:r w:rsidRPr="00F92169">
        <w:t xml:space="preserve">, valamint a felületi és vonalas erózió potenciális domborzati tényezői közül kiemelt szerepe van a lejtőszög és a lejtőgörbület értékének. A lejtőgörbület és </w:t>
      </w:r>
      <w:r w:rsidRPr="00F92169">
        <w:lastRenderedPageBreak/>
        <w:t>lejtőkategória értékelés az MBFSZ által fejlesztett DTA-50 raszteres domborzatmodell vektorizálásával készült.</w:t>
      </w:r>
    </w:p>
    <w:p w14:paraId="12214337" w14:textId="77777777" w:rsidR="0087531A" w:rsidRPr="00F92169" w:rsidRDefault="0087531A" w:rsidP="0087531A">
      <w:r w:rsidRPr="00F92169">
        <w:t xml:space="preserve">A </w:t>
      </w:r>
      <w:r w:rsidRPr="00F92169">
        <w:rPr>
          <w:i/>
          <w:iCs/>
        </w:rPr>
        <w:t>lejtőgörbület</w:t>
      </w:r>
      <w:r w:rsidRPr="00F92169">
        <w:t xml:space="preserve"> értékelés jól kirajzolja lejtőalji konkáv és lejtők, lejtőtetők konvex térszíneit. A görbületi értékek három osztályba tagolódtak — neutrális, épülő (konkáv), pusztuló (konvex) lejtők — s ezek egyszeres súlyozás mellett sorrendben növekvő veszélyeztetettségi értékeket kaptak.</w:t>
      </w:r>
    </w:p>
    <w:p w14:paraId="0FBF684E" w14:textId="77777777" w:rsidR="0087531A" w:rsidRPr="00F92169" w:rsidRDefault="0087531A" w:rsidP="0087531A">
      <w:r w:rsidRPr="00F92169">
        <w:t>A modellből számított lejtőkategóriák (0-2°; 2-12.5°; &gt;12.5° feletti lejtők) összhangban vannak az MBFSZ Földtani veszélyforrás projektje módszertani kutatásaiban alkalmazott építési, műszaki határértékekkel. A lejtőkategória értékek kétszeres súlyozás mellett 2–6 pont között növekvő veszélyeztetettségi értékeket kaptak.</w:t>
      </w:r>
    </w:p>
    <w:p w14:paraId="67813159" w14:textId="77777777" w:rsidR="0087531A" w:rsidRPr="00F92169" w:rsidRDefault="0087531A" w:rsidP="0087531A">
      <w:r w:rsidRPr="00F92169">
        <w:t>A mélyfekvésű területek a belvíz veszélyeztetettség 1:500.000-es léptékű áttekintő vázlata. A térkép a DTA-50 adatbázisból generalizált relatív morfológiai helyzet és a fúrási alapadatokból származtatott első vízzáró réteg adatai alapján szintetizált kartogram.</w:t>
      </w:r>
    </w:p>
    <w:p w14:paraId="7A1D579A" w14:textId="77777777" w:rsidR="0087531A" w:rsidRPr="00F92169" w:rsidRDefault="0087531A" w:rsidP="0087531A">
      <w:r w:rsidRPr="00F92169">
        <w:t>A térképi foltok másfélszeres súlyozással — 1,5-7,5 veszélyességi pontértékek között 5 osztályt alkotnak.</w:t>
      </w:r>
    </w:p>
    <w:p w14:paraId="3AA1EB42" w14:textId="77777777" w:rsidR="0087531A" w:rsidRPr="00F92169" w:rsidRDefault="0087531A" w:rsidP="0087531A">
      <w:r w:rsidRPr="00F92169">
        <w:t>A talajvíz terep alatti mélységét ábrázoló térkép a Magyar Állami Földtani Intézet Vízföldtani Osztálya irányításával készült térképmű. Alapadatai között tartalmazza az ország ásott kútjaiban, valamint a regionális térképezési programok sekélyfúrásaiban mért nyugalmi vízszint adatokat.</w:t>
      </w:r>
    </w:p>
    <w:p w14:paraId="7D1F4074" w14:textId="77777777" w:rsidR="0087531A" w:rsidRPr="00F92169" w:rsidRDefault="0087531A" w:rsidP="0087531A">
      <w:r w:rsidRPr="00F92169">
        <w:t>A négy veszélyességi osztály 1,5-től 6 pontig növekvő értékeket kapott, és az eredménytérképen szintén másfé</w:t>
      </w:r>
      <w:r w:rsidR="001E1AFB" w:rsidRPr="00F92169">
        <w:t>lszeres súlyozással szerepelnek</w:t>
      </w:r>
      <w:r w:rsidRPr="00F92169">
        <w:t>.</w:t>
      </w:r>
    </w:p>
    <w:p w14:paraId="13D9F315" w14:textId="77777777" w:rsidR="0087531A" w:rsidRPr="00F92169" w:rsidRDefault="0087531A" w:rsidP="0087531A">
      <w:r w:rsidRPr="00F92169">
        <w:t xml:space="preserve">A tájsebek veszélyességi értékelése a külfejtéses bányák és a meddőhányók alkotta térszíneket veszi figyelembe. A kiértékelés alapadatait az </w:t>
      </w:r>
      <w:r w:rsidR="001E1AFB" w:rsidRPr="00F92169">
        <w:t xml:space="preserve">egykori </w:t>
      </w:r>
      <w:r w:rsidRPr="00F92169">
        <w:t>MBFSZ szolgáltatta. Az egyes foltok a felszíni bányatelkek nyilvántartásából és a rekultivációra vonatkozó adatokból származnak. A helyi jelentőségű anyagkitermelő helyek pontszerű jelet kaptak. Az egyes elemek köré 200 m-es pufferzónát húztunk.</w:t>
      </w:r>
    </w:p>
    <w:p w14:paraId="497E5403" w14:textId="77777777" w:rsidR="0087531A" w:rsidRPr="00F92169" w:rsidRDefault="0087531A" w:rsidP="0087531A">
      <w:r w:rsidRPr="00F92169">
        <w:t xml:space="preserve">A közvetlen veszélyeztetett kőbányák, meddőhányók területe 4-es, a potenciális veszélyt jelentő pufferzóna 2-es pontértéket kapott, kétszeres súlyozás </w:t>
      </w:r>
      <w:r w:rsidR="001E1AFB" w:rsidRPr="00F92169">
        <w:t>mellett</w:t>
      </w:r>
      <w:r w:rsidRPr="00F92169">
        <w:t>.</w:t>
      </w:r>
    </w:p>
    <w:p w14:paraId="2C1FDDF4" w14:textId="77777777" w:rsidR="0087531A" w:rsidRPr="00F92169" w:rsidRDefault="0087531A" w:rsidP="0087531A">
      <w:r w:rsidRPr="00F92169">
        <w:t>Az eróziós értékelés az Integrated Basin Studies nemzetközi neotektonikai kutatási projekt keretében készült a Magyar Állami Földtani Intézetben. A projekt itt felhasznált egyik tematikája az aktuális felületi és vonalas eróziós területek lehatárolása volt.</w:t>
      </w:r>
    </w:p>
    <w:p w14:paraId="11D5DE70" w14:textId="77777777" w:rsidR="0087531A" w:rsidRPr="00F92169" w:rsidRDefault="0087531A" w:rsidP="0087531A">
      <w:r w:rsidRPr="00F92169">
        <w:t>A három csoportba sorolt eróziós térszínek közül — kétszeres súlyozás mellet</w:t>
      </w:r>
      <w:r w:rsidR="00620B0D" w:rsidRPr="00F92169">
        <w:t>t</w:t>
      </w:r>
      <w:r w:rsidRPr="00F92169">
        <w:t xml:space="preserve"> — a felületi erózió 2, a vonalas</w:t>
      </w:r>
      <w:r w:rsidR="00620B0D" w:rsidRPr="00F92169">
        <w:t xml:space="preserve"> </w:t>
      </w:r>
      <w:r w:rsidRPr="00F92169">
        <w:t>erózió 4, a felületi és vonalas erózió együttes előfordulása pedig 6 pontot kapott, mint enyhén veszélyeztetett, veszélyeztetett és erősen veszélyeztetett</w:t>
      </w:r>
      <w:r w:rsidR="00620B0D" w:rsidRPr="00F92169">
        <w:t xml:space="preserve"> területek</w:t>
      </w:r>
      <w:r w:rsidRPr="00F92169">
        <w:t>.</w:t>
      </w:r>
    </w:p>
    <w:p w14:paraId="2F87ECCA" w14:textId="77777777" w:rsidR="0087531A" w:rsidRPr="00F92169" w:rsidRDefault="0087531A" w:rsidP="0087531A">
      <w:r w:rsidRPr="00F92169">
        <w:t xml:space="preserve">Az összes vizsgált földtani kitettségi tényezőt ábrázoló, tíz tematikát felölelő 100.000-es léptékű analitikus térkép pontértékeinek térinformatikai összegzésével jött létre a kritikus energetikai infrastruktúra aktuális földtani veszélyeztetettségét mutató </w:t>
      </w:r>
      <w:r w:rsidR="00B75F1D" w:rsidRPr="00F92169">
        <w:t xml:space="preserve">összetett </w:t>
      </w:r>
      <w:r w:rsidRPr="00F92169">
        <w:t>eredménytérkép</w:t>
      </w:r>
      <w:r w:rsidR="00B75F1D" w:rsidRPr="00F92169">
        <w:t xml:space="preserve"> (7. ábra)</w:t>
      </w:r>
      <w:r w:rsidRPr="00F92169">
        <w:t>.</w:t>
      </w:r>
    </w:p>
    <w:p w14:paraId="44008BA3" w14:textId="77777777" w:rsidR="0087531A" w:rsidRPr="00F92169" w:rsidRDefault="0087531A" w:rsidP="0087531A">
      <w:r w:rsidRPr="00F92169">
        <w:t>A térképi adatok tesztelési eredménye azt mutatta, hogy a mechanikus harmadolásos osztályozásnál a tényleges földtani veszélyességi folyamatokat jobban tükrözi a skála magasabb értékek felé történő eltolása. Az így jóváhagyott skála fő határai a 3–25; a 25–40 és a 40–83,5 közötti értéktartományokban húzódnak, melyeket még további két-két csoportra bontottunk. Így egy árnyaltabb, értékelő, kitettségi skála is létrehozható vo</w:t>
      </w:r>
      <w:r w:rsidR="00620B0D" w:rsidRPr="00F92169">
        <w:t>lt</w:t>
      </w:r>
      <w:r w:rsidRPr="00F92169">
        <w:t>.</w:t>
      </w:r>
    </w:p>
    <w:p w14:paraId="55ADF282" w14:textId="77777777" w:rsidR="0087531A" w:rsidRPr="00F92169" w:rsidRDefault="0087531A" w:rsidP="0087531A">
      <w:r w:rsidRPr="00F92169">
        <w:t>Az eredménytérkép nagy részletességgel összegzi a földtani veszélyeztetettség tényezőit, és megmutatja a síkvidékek, dombságok és hegyvidéki területek kitettségében mutatkozó alapvető eltéréseket.</w:t>
      </w:r>
    </w:p>
    <w:p w14:paraId="30D7AA69" w14:textId="77777777" w:rsidR="00620B0D" w:rsidRPr="00592227" w:rsidRDefault="00620B0D" w:rsidP="00620B0D">
      <w:pPr>
        <w:keepNext/>
        <w:ind w:firstLine="0"/>
        <w:jc w:val="center"/>
      </w:pPr>
      <w:r w:rsidRPr="00592227">
        <w:rPr>
          <w:noProof/>
          <w:lang w:eastAsia="hu-HU"/>
        </w:rPr>
        <w:lastRenderedPageBreak/>
        <w:drawing>
          <wp:inline distT="0" distB="0" distL="0" distR="0" wp14:anchorId="5EA56CC7" wp14:editId="0B4B068E">
            <wp:extent cx="4905375" cy="3064237"/>
            <wp:effectExtent l="0" t="0" r="0" b="3175"/>
            <wp:docPr id="1166721016" name="Kép 11" descr="A képen térkép, szöveg, atl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21016" name="Kép 11" descr="A képen térkép, szöveg, atlasz látható&#10;&#10;Automatikusan generált leírá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07985" cy="3065867"/>
                    </a:xfrm>
                    <a:prstGeom prst="rect">
                      <a:avLst/>
                    </a:prstGeom>
                  </pic:spPr>
                </pic:pic>
              </a:graphicData>
            </a:graphic>
          </wp:inline>
        </w:drawing>
      </w:r>
    </w:p>
    <w:p w14:paraId="3C12F180" w14:textId="77777777" w:rsidR="00620B0D" w:rsidRPr="00592227" w:rsidRDefault="00BF16AA" w:rsidP="00620B0D">
      <w:pPr>
        <w:pStyle w:val="Kpalrs"/>
      </w:pPr>
      <w:bookmarkStart w:id="11" w:name="_Ref145335311"/>
      <w:r w:rsidRPr="00592227">
        <w:rPr>
          <w:b/>
        </w:rPr>
        <w:t>7.</w:t>
      </w:r>
      <w:r w:rsidR="00620B0D" w:rsidRPr="00592227">
        <w:rPr>
          <w:b/>
        </w:rPr>
        <w:t xml:space="preserve"> ábra</w:t>
      </w:r>
      <w:bookmarkEnd w:id="11"/>
      <w:r w:rsidR="00620B0D" w:rsidRPr="00592227">
        <w:rPr>
          <w:b/>
        </w:rPr>
        <w:t>.</w:t>
      </w:r>
      <w:r w:rsidR="00620B0D" w:rsidRPr="00592227">
        <w:t xml:space="preserve"> </w:t>
      </w:r>
      <w:r w:rsidR="00620B0D" w:rsidRPr="00592227">
        <w:rPr>
          <w:iCs/>
          <w:szCs w:val="22"/>
        </w:rPr>
        <w:t>Földtani veszélyeztetettségi térkép</w:t>
      </w:r>
      <w:r w:rsidRPr="00592227">
        <w:rPr>
          <w:iCs/>
          <w:szCs w:val="22"/>
        </w:rPr>
        <w:t>- komplex mutató alapján</w:t>
      </w:r>
    </w:p>
    <w:p w14:paraId="7196D064" w14:textId="77777777" w:rsidR="00620B0D" w:rsidRPr="00592227" w:rsidRDefault="00620B0D" w:rsidP="0087531A"/>
    <w:p w14:paraId="21E4FE6C" w14:textId="77777777" w:rsidR="0087531A" w:rsidRPr="00F92169" w:rsidRDefault="0087531A" w:rsidP="0087531A">
      <w:r w:rsidRPr="00F92169">
        <w:t>A földtani intézményrendszerben rendelkezésre álló laboratóriumi és geofizikai (főként karottázs) adatok arra is alkalmasak</w:t>
      </w:r>
      <w:r w:rsidR="00620B0D" w:rsidRPr="00F92169">
        <w:t xml:space="preserve"> lehetnek</w:t>
      </w:r>
      <w:r w:rsidRPr="00F92169">
        <w:t>, hogy az egyes földtani képződményekből építésföldtani, mérnökgeofizikai paramétereket képezzenek, melyek területi adatokkal társítva nagyban segíthetik az esetleges káresemények prognózisát, valamint az új létesítmények mérnöki tervezését. A kialakított információs rendszer a jelen elvégzett sérülékenységi vizsgálat mellett tehát mindenkori támogatást nyújt</w:t>
      </w:r>
      <w:r w:rsidR="00620B0D" w:rsidRPr="00F92169">
        <w:t>hat</w:t>
      </w:r>
      <w:r w:rsidRPr="00F92169">
        <w:t xml:space="preserve"> aktuális tervezési, döntéselőkészítési kérdésekben is.</w:t>
      </w:r>
      <w:r w:rsidR="00620B0D" w:rsidRPr="00F92169">
        <w:t xml:space="preserve"> </w:t>
      </w:r>
      <w:r w:rsidR="00B75F1D" w:rsidRPr="00F92169">
        <w:t>Fontos leszögezni ugyanakkor, hogy</w:t>
      </w:r>
      <w:r w:rsidR="00620B0D" w:rsidRPr="00F92169">
        <w:t xml:space="preserve"> nem helyettesíti a részletes helyi mérnökgeológiai vizsgálatok elvégzését és kiértékelését.</w:t>
      </w:r>
    </w:p>
    <w:p w14:paraId="34FF1C98" w14:textId="77777777" w:rsidR="00EB300D" w:rsidRPr="00F92169" w:rsidRDefault="00EB300D" w:rsidP="00F92169"/>
    <w:p w14:paraId="6D072C0D" w14:textId="77777777" w:rsidR="001621FD" w:rsidRPr="00592227" w:rsidRDefault="001621FD" w:rsidP="00EB300D">
      <w:pPr>
        <w:ind w:firstLine="0"/>
        <w:rPr>
          <w:color w:val="000000"/>
        </w:rPr>
      </w:pPr>
      <w:r w:rsidRPr="00592227">
        <w:rPr>
          <w:color w:val="000000"/>
        </w:rPr>
        <w:br w:type="page"/>
      </w:r>
    </w:p>
    <w:p w14:paraId="6BD27638" w14:textId="77777777" w:rsidR="00497159" w:rsidRPr="00592227" w:rsidRDefault="00651D5E" w:rsidP="006D5975">
      <w:pPr>
        <w:pStyle w:val="Cmsor1"/>
      </w:pPr>
      <w:bookmarkStart w:id="12" w:name="_Toc147484194"/>
      <w:r w:rsidRPr="00592227">
        <w:lastRenderedPageBreak/>
        <w:t>7</w:t>
      </w:r>
      <w:r w:rsidR="00EB300D" w:rsidRPr="00592227">
        <w:t xml:space="preserve">. </w:t>
      </w:r>
      <w:r w:rsidR="00497159" w:rsidRPr="00592227">
        <w:t>A nagynyomású földgázvezeték</w:t>
      </w:r>
      <w:r w:rsidR="007F456E" w:rsidRPr="00592227">
        <w:t>-</w:t>
      </w:r>
      <w:r w:rsidR="00497159" w:rsidRPr="00592227">
        <w:t xml:space="preserve">rendszer kiválasztott felszíni létesítményeinek </w:t>
      </w:r>
      <w:r w:rsidR="007F456E" w:rsidRPr="00592227">
        <w:t xml:space="preserve">várható </w:t>
      </w:r>
      <w:r w:rsidR="00497159" w:rsidRPr="00592227">
        <w:t>éghajlati és földtani sérülékenysége</w:t>
      </w:r>
      <w:bookmarkEnd w:id="12"/>
    </w:p>
    <w:p w14:paraId="6BD18F9B" w14:textId="77777777" w:rsidR="00AB4969" w:rsidRPr="00F92169" w:rsidRDefault="00AB4969" w:rsidP="00AB4969"/>
    <w:p w14:paraId="50025F52" w14:textId="77777777" w:rsidR="00AB4969" w:rsidRPr="00F92169" w:rsidRDefault="00AB4969" w:rsidP="00F92169">
      <w:r w:rsidRPr="00F92169">
        <w:t>Az FGSZ által üzemeltetett és fejlesztett hazai nagynyomású földgázvezeték-rendszer létesítményei, telephelyei, mint felszíni rendszer éghajlati és földtani sérülékenységének vizsgálatát és térképezését a CIVAS modell logikai keretében végeztük el. Mindösszesen 416</w:t>
      </w:r>
      <w:r w:rsidR="009C524F" w:rsidRPr="00F92169">
        <w:t xml:space="preserve"> </w:t>
      </w:r>
      <w:r w:rsidR="006E54EA" w:rsidRPr="00F92169">
        <w:t xml:space="preserve">darab </w:t>
      </w:r>
      <w:r w:rsidR="009C524F" w:rsidRPr="00F92169">
        <w:t>földgáz</w:t>
      </w:r>
      <w:r w:rsidRPr="00F92169">
        <w:t>létesítményt vontunk be a vizsgálatba. A vizsgált létesítmények három fő csoportja a nagynyomású földgázhálózat kompresszorállomásai, csomópontjai és a földgázátadók voltak</w:t>
      </w:r>
      <w:r w:rsidR="009C524F" w:rsidRPr="00F92169">
        <w:footnoteReference w:id="4"/>
      </w:r>
      <w:r w:rsidRPr="00F92169">
        <w:t xml:space="preserve">. A fő eredményeket </w:t>
      </w:r>
      <w:r w:rsidR="009C524F" w:rsidRPr="00F92169">
        <w:t>az alábbiakban foglaljuk össze.</w:t>
      </w:r>
      <w:r w:rsidR="009C524F" w:rsidRPr="00F92169">
        <w:footnoteReference w:id="5"/>
      </w:r>
    </w:p>
    <w:p w14:paraId="238601FE" w14:textId="77777777" w:rsidR="003650AF" w:rsidRPr="00F92169" w:rsidRDefault="003650AF" w:rsidP="00F92169"/>
    <w:p w14:paraId="2E86E06E" w14:textId="77777777" w:rsidR="003650AF" w:rsidRPr="00592227" w:rsidRDefault="003650AF" w:rsidP="006D5975">
      <w:pPr>
        <w:pStyle w:val="Cmsor2"/>
        <w:rPr>
          <w:noProof/>
        </w:rPr>
      </w:pPr>
      <w:bookmarkStart w:id="13" w:name="_Toc147484195"/>
      <w:r w:rsidRPr="00592227">
        <w:rPr>
          <w:noProof/>
        </w:rPr>
        <w:t>7.1. Az indikátorok kialakítása és a hatáslánc</w:t>
      </w:r>
      <w:bookmarkEnd w:id="13"/>
    </w:p>
    <w:p w14:paraId="3A77EE46" w14:textId="77777777" w:rsidR="003D6828" w:rsidRPr="00F92169" w:rsidRDefault="003D6828" w:rsidP="003D6828">
      <w:r w:rsidRPr="00F92169">
        <w:t xml:space="preserve">Az éghajlati veszélyforrások által okozott hatás mára sok gazdasági, ökológiai és társadalmi területen felül jelentőssé vált a földgáz-szektorban is. A vizsgálati logika kerete, fő mutatói és hatáslánca, köszönhetően a szakmai partnereknek, több körben került kialakításra, súlyozásra, és hozzá megfelelő mennyiségű érzékenységi és alkalmazkodóképességi adat is rendelkezésre állt egy éghajlati és földtani sérülékenységet bemutató hatáslánc (kitettség, érzékenységi, alkalmazkodóképességi indikátorok képzésével együtt) kialakítására. </w:t>
      </w:r>
    </w:p>
    <w:p w14:paraId="201B2246" w14:textId="77777777" w:rsidR="003D6828" w:rsidRPr="00F92169" w:rsidRDefault="003D6828" w:rsidP="00231C40">
      <w:r w:rsidRPr="00F92169">
        <w:t xml:space="preserve">A hatáslánc az éghajlati és földtani hatásoknak sokrétűen kitett, nagynyomású földgázvezeték-rendszer </w:t>
      </w:r>
      <w:r w:rsidR="00231C40" w:rsidRPr="00F92169">
        <w:t xml:space="preserve">felszíni </w:t>
      </w:r>
      <w:r w:rsidR="003F60A3" w:rsidRPr="00F92169">
        <w:t xml:space="preserve">rendszerelemeire </w:t>
      </w:r>
      <w:r w:rsidR="00231C40" w:rsidRPr="00F92169">
        <w:t>(úgymint gáznyomásfokozók, gázátadók és vezetéki csomópontok)</w:t>
      </w:r>
      <w:r w:rsidRPr="00F92169">
        <w:t xml:space="preserve"> került kialakításra figyelembe véve az éghajlati és földtani kitettségi </w:t>
      </w:r>
      <w:proofErr w:type="gramStart"/>
      <w:r w:rsidRPr="00F92169">
        <w:t>jellemzőket</w:t>
      </w:r>
      <w:proofErr w:type="gramEnd"/>
      <w:r w:rsidRPr="00F92169">
        <w:t xml:space="preserve"> valamint megvizsgálva több érzékenységi alapadatot. Az éghajlati indikátorok két, közép- (2021-2050) és hosszú időtávú (2071-2100) modellszimuláció két-két forgatókönyvére (4.5 optimista, 8.5 pesszimista) készültek el (lásd bővebben a 6.1. fejezetben</w:t>
      </w:r>
      <w:r w:rsidR="00231C40" w:rsidRPr="00F92169">
        <w:t>)</w:t>
      </w:r>
      <w:r w:rsidRPr="00F92169">
        <w:t xml:space="preserve">. Az indikátorokat a nemzetközi szakirodalom korábbi cikkeit is figyelembe véve, majd az FGSZ szakembereivel konzultálva, azok együttműködésével közösen </w:t>
      </w:r>
      <w:r w:rsidR="00231C40" w:rsidRPr="00F92169">
        <w:t>alakítottuk</w:t>
      </w:r>
      <w:r w:rsidRPr="00F92169">
        <w:t xml:space="preserve"> ki</w:t>
      </w:r>
      <w:r w:rsidR="00231C40" w:rsidRPr="00F92169">
        <w:t>.</w:t>
      </w:r>
      <w:r w:rsidRPr="00F92169">
        <w:t xml:space="preserve"> Ezen belül a felszíni földgáz </w:t>
      </w:r>
      <w:r w:rsidR="00231C40" w:rsidRPr="00F92169">
        <w:t xml:space="preserve">rendszerelemek </w:t>
      </w:r>
      <w:r w:rsidRPr="00F92169">
        <w:t xml:space="preserve">állapotára várhatóan legnagyobb hatással bíró olyan éghajlati indikátorokat választottunk ki, amelyekre mind valamilyen éghajlati rácsponti megfigyelés, és mind a kétféle jövőbeli (optimista és pesszimista) kibocsátási forgatókönyvre előálló, legalább 6-10 különböző éghajlati modellszimuláció eredményei is rendelkezésünkre állnak hazánkra a megfelelő tér- és időbeli felbontáson. Viszonylag kevés számú indexet választottunk ki mindkét csoportra, hiszen a földgáz-szektorban kisebb méretű kitettségről és az időjárási szélsőségek által kevésbé érintett infrastrukturális elemekről van </w:t>
      </w:r>
      <w:proofErr w:type="gramStart"/>
      <w:r w:rsidRPr="00F92169">
        <w:t>szó</w:t>
      </w:r>
      <w:proofErr w:type="gramEnd"/>
      <w:r w:rsidRPr="00F92169">
        <w:t xml:space="preserve"> mint például a villamos-energia hálózat átviteli rendszere esetén. Mindezeket súlyozással is elláttuk, hiszen az indikátoroknak nem azonos mértékben van hatásuk a felszíni földgáz vagy a nagynyomású földgáz rendszerelemek állapotára.</w:t>
      </w:r>
    </w:p>
    <w:p w14:paraId="3418D130" w14:textId="32DEAD50" w:rsidR="003D6828" w:rsidRPr="00F92169" w:rsidRDefault="003D6828" w:rsidP="004B5518">
      <w:pPr>
        <w:pStyle w:val="Listaszerbekezds"/>
        <w:numPr>
          <w:ilvl w:val="0"/>
          <w:numId w:val="16"/>
        </w:numPr>
        <w:ind w:left="709"/>
        <w:rPr>
          <w:szCs w:val="24"/>
        </w:rPr>
      </w:pPr>
      <w:r w:rsidRPr="00F92169">
        <w:rPr>
          <w:b/>
          <w:bCs/>
          <w:szCs w:val="24"/>
        </w:rPr>
        <w:t>Nagy csapadékok</w:t>
      </w:r>
      <w:r w:rsidRPr="00F92169">
        <w:rPr>
          <w:szCs w:val="24"/>
        </w:rPr>
        <w:t>: Itt két indikátort választottunk ki – a 23 mm feletti csapadékú napok éves számát, mely küszöböt több év földcsuszamlásos eseteinek statisztikái alapján határoztunk meg, és az órás csapadékintenzitás éves maximumát, melyből kissé nagyobb súllyal szerepel az utóbbi (1,5 a nagynyomású földgázvezeték esetében és 1,2 a felszíni földgázelemeknél), mint az előbbi. A 23 mm-es indikátor esetében 1-es súlyt alkalmaztunk a két csoportra nézve, hiszen mindkét csoportot inkább a hirtelen árvizek intenzitásának változása, mint a nagycsapadékok gyakoriságának növekedése veszélyezteti.</w:t>
      </w:r>
    </w:p>
    <w:p w14:paraId="30DEF050" w14:textId="273C852E" w:rsidR="003D6828" w:rsidRPr="00F92169" w:rsidRDefault="003D6828" w:rsidP="004B5518">
      <w:pPr>
        <w:pStyle w:val="Listaszerbekezds"/>
        <w:numPr>
          <w:ilvl w:val="0"/>
          <w:numId w:val="16"/>
        </w:numPr>
        <w:ind w:left="709"/>
        <w:rPr>
          <w:szCs w:val="24"/>
        </w:rPr>
      </w:pPr>
      <w:r w:rsidRPr="00F92169">
        <w:rPr>
          <w:b/>
          <w:bCs/>
          <w:szCs w:val="24"/>
        </w:rPr>
        <w:lastRenderedPageBreak/>
        <w:t>Erdőtűzveszély</w:t>
      </w:r>
      <w:r w:rsidRPr="00F92169">
        <w:rPr>
          <w:szCs w:val="24"/>
        </w:rPr>
        <w:t>: Az erdőtűz veszélyes napok éves számát a hosszan tartó, csapadék nélküli és száraz, meleg időszakok együttes előfordulásával határoztuk meg (amikor a napi maximumhőmérséklet 30 °C feletti, a relatív nedvesség 30% alatti, továbbá az elmúlt 30 nap csapadékösszege nem éri el a 30 mm-t). Ezen indikátor küszöbértékei elég szigorúnak tűnnek, de a jövőben egyértelműen lesznek majd ilyen időszakok. Mivel a felszíni földgázelemekre ez a veszély nagyobb hatással bír, ezért ott a súlyozást 1,5-nek állapítottuk meg, míg a nagynyomású földgázvezetékeknél 1-nek.</w:t>
      </w:r>
    </w:p>
    <w:p w14:paraId="57015668" w14:textId="77777777" w:rsidR="00231C40" w:rsidRPr="00F92169" w:rsidRDefault="00231C40" w:rsidP="00231C40">
      <w:pPr>
        <w:rPr>
          <w:szCs w:val="24"/>
        </w:rPr>
      </w:pPr>
      <w:r w:rsidRPr="00F92169">
        <w:rPr>
          <w:szCs w:val="24"/>
        </w:rPr>
        <w:t>A</w:t>
      </w:r>
      <w:r w:rsidR="00B76180" w:rsidRPr="00F92169">
        <w:rPr>
          <w:szCs w:val="24"/>
        </w:rPr>
        <w:t xml:space="preserve"> kialakított és</w:t>
      </w:r>
      <w:r w:rsidRPr="00F92169">
        <w:rPr>
          <w:szCs w:val="24"/>
        </w:rPr>
        <w:t xml:space="preserve"> egységesen használt földtani 10 mutatócsoportot és a kitettségi indikátorokat (köztük egy komplex összefoglaló pontozásos mutatót) a 6.2 alfejezetben mutattuk be részletesen.</w:t>
      </w:r>
    </w:p>
    <w:p w14:paraId="6377CD7F" w14:textId="77777777" w:rsidR="00231C40" w:rsidRPr="00F92169" w:rsidRDefault="003650AF" w:rsidP="003650AF">
      <w:pPr>
        <w:rPr>
          <w:szCs w:val="24"/>
        </w:rPr>
      </w:pPr>
      <w:r w:rsidRPr="00F92169">
        <w:rPr>
          <w:szCs w:val="24"/>
        </w:rPr>
        <w:t>A felhasznált érzékenységi alapadatok (például éghajlati, időjárási eseményektől való védettség mutatója) az FGSZ rendszeres, saját adatgyűjtéséből, mutatóképzéséből származnak, ott folyamatosan frissítve rendelkezésre állnak. Alkalmazkodóképességi jellemzőket és pontozásos mutatót erre az energetikai rendszerre és a vizsgált három alcsoportra az áramellátás alternatíváinak száma és jellemzői alapján súlyozással készítettük el, amelyhez háromfokozatú („jelzőlámpa”) besorolási kategóriákat hoztunk létre</w:t>
      </w:r>
      <w:r w:rsidR="00B76180" w:rsidRPr="00F92169">
        <w:rPr>
          <w:szCs w:val="24"/>
        </w:rPr>
        <w:t xml:space="preserve">. </w:t>
      </w:r>
      <w:r w:rsidRPr="00F92169">
        <w:rPr>
          <w:szCs w:val="24"/>
        </w:rPr>
        <w:t xml:space="preserve">A kialakított hatáslánc alább látható. </w:t>
      </w:r>
    </w:p>
    <w:p w14:paraId="5B08B5D1" w14:textId="77777777" w:rsidR="00AB4969" w:rsidRPr="00F92169" w:rsidRDefault="00AB4969" w:rsidP="00AB4969">
      <w:pPr>
        <w:rPr>
          <w:szCs w:val="24"/>
        </w:rPr>
      </w:pPr>
    </w:p>
    <w:p w14:paraId="16DEB4AB" w14:textId="77777777" w:rsidR="00330073" w:rsidRPr="00592227" w:rsidRDefault="00330073" w:rsidP="003C305A">
      <w:pPr>
        <w:keepNext/>
        <w:ind w:firstLine="0"/>
        <w:jc w:val="center"/>
      </w:pPr>
      <w:r w:rsidRPr="00592227">
        <w:rPr>
          <w:noProof/>
          <w:lang w:eastAsia="hu-HU"/>
        </w:rPr>
        <w:drawing>
          <wp:inline distT="0" distB="0" distL="0" distR="0" wp14:anchorId="58473D84" wp14:editId="400FD92E">
            <wp:extent cx="4560500" cy="3228975"/>
            <wp:effectExtent l="0" t="0" r="0" b="0"/>
            <wp:docPr id="25" name="Kép 25" descr="A képen szöveg, képernyőkép, Betűtípus, dokument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öveg, képernyőkép, Betűtípus, dokumentum látható&#10;&#10;Automatikusan generált leírás"/>
                    <pic:cNvPicPr/>
                  </pic:nvPicPr>
                  <pic:blipFill rotWithShape="1">
                    <a:blip r:embed="rId25">
                      <a:extLst>
                        <a:ext uri="{28A0092B-C50C-407E-A947-70E740481C1C}">
                          <a14:useLocalDpi xmlns:a14="http://schemas.microsoft.com/office/drawing/2010/main" val="0"/>
                        </a:ext>
                      </a:extLst>
                    </a:blip>
                    <a:srcRect b="5571"/>
                    <a:stretch/>
                  </pic:blipFill>
                  <pic:spPr bwMode="auto">
                    <a:xfrm>
                      <a:off x="0" y="0"/>
                      <a:ext cx="4561200" cy="3229471"/>
                    </a:xfrm>
                    <a:prstGeom prst="rect">
                      <a:avLst/>
                    </a:prstGeom>
                    <a:ln>
                      <a:noFill/>
                    </a:ln>
                    <a:extLst>
                      <a:ext uri="{53640926-AAD7-44D8-BBD7-CCE9431645EC}">
                        <a14:shadowObscured xmlns:a14="http://schemas.microsoft.com/office/drawing/2010/main"/>
                      </a:ext>
                    </a:extLst>
                  </pic:spPr>
                </pic:pic>
              </a:graphicData>
            </a:graphic>
          </wp:inline>
        </w:drawing>
      </w:r>
    </w:p>
    <w:p w14:paraId="1C6D0BD9" w14:textId="77777777" w:rsidR="00330073" w:rsidRPr="00592227" w:rsidRDefault="00BF16AA" w:rsidP="00330073">
      <w:pPr>
        <w:pStyle w:val="Kpalrs"/>
      </w:pPr>
      <w:r w:rsidRPr="00592227">
        <w:t>8</w:t>
      </w:r>
      <w:r w:rsidR="00330073" w:rsidRPr="00592227">
        <w:t>. ábra. A felszíni földgáz rendszerelemek komplex sérülékenysége - hatáslánc</w:t>
      </w:r>
    </w:p>
    <w:p w14:paraId="0AD9C6F4" w14:textId="77777777" w:rsidR="00330073" w:rsidRPr="00592227" w:rsidRDefault="00330073" w:rsidP="001754C9"/>
    <w:p w14:paraId="7DED0173" w14:textId="77777777" w:rsidR="00497159" w:rsidRPr="00592227" w:rsidRDefault="006012C9" w:rsidP="006D5975">
      <w:pPr>
        <w:pStyle w:val="Cmsor2"/>
      </w:pPr>
      <w:bookmarkStart w:id="14" w:name="_Toc147484196"/>
      <w:r w:rsidRPr="00592227">
        <w:t>7.2</w:t>
      </w:r>
      <w:r w:rsidR="00EB300D" w:rsidRPr="00592227">
        <w:t xml:space="preserve"> </w:t>
      </w:r>
      <w:r w:rsidR="00C27711" w:rsidRPr="00592227">
        <w:rPr>
          <w:noProof/>
        </w:rPr>
        <w:t>A nagynyomású földgázhálózat vizsgált felszíni létesítményeinek kitettségi jellemzői</w:t>
      </w:r>
      <w:bookmarkEnd w:id="14"/>
      <w:r w:rsidR="00C27711" w:rsidRPr="00592227">
        <w:t xml:space="preserve"> </w:t>
      </w:r>
    </w:p>
    <w:p w14:paraId="3A5C0285" w14:textId="77777777" w:rsidR="004C2AE9" w:rsidRPr="00F92169" w:rsidRDefault="004C2AE9" w:rsidP="004C2AE9">
      <w:pPr>
        <w:rPr>
          <w:szCs w:val="24"/>
        </w:rPr>
      </w:pPr>
      <w:r w:rsidRPr="00F92169">
        <w:rPr>
          <w:szCs w:val="24"/>
        </w:rPr>
        <w:t xml:space="preserve">A </w:t>
      </w:r>
      <w:proofErr w:type="spellStart"/>
      <w:r w:rsidRPr="00F92169">
        <w:rPr>
          <w:szCs w:val="24"/>
        </w:rPr>
        <w:t>nagynyomásű</w:t>
      </w:r>
      <w:proofErr w:type="spellEnd"/>
      <w:r w:rsidRPr="00F92169">
        <w:rPr>
          <w:szCs w:val="24"/>
        </w:rPr>
        <w:t xml:space="preserve"> földgázhálózat </w:t>
      </w:r>
      <w:r w:rsidR="007E5F23" w:rsidRPr="00F92169">
        <w:rPr>
          <w:szCs w:val="24"/>
        </w:rPr>
        <w:t>felszíni létesítményei esetén az éghajlati kitettség</w:t>
      </w:r>
      <w:r w:rsidRPr="00F92169">
        <w:rPr>
          <w:szCs w:val="24"/>
        </w:rPr>
        <w:t xml:space="preserve"> jövőbeli változása</w:t>
      </w:r>
      <w:r w:rsidR="00D85A43" w:rsidRPr="00F92169">
        <w:rPr>
          <w:szCs w:val="24"/>
        </w:rPr>
        <w:t xml:space="preserve"> (9. ábra)</w:t>
      </w:r>
      <w:r w:rsidRPr="00F92169">
        <w:rPr>
          <w:szCs w:val="24"/>
        </w:rPr>
        <w:t xml:space="preserve"> a középtávú (2021-2050) és hosszútávú (2071-2100) valamint optimista (RCP 4.5) és pesszimista (RCP 8.5) forgatókönyvek esetén várhatóan erősen eltérő lesz. A komplex, 3 kiválasztott, eltérően súlyozott indikátor jellemzőit együttesen mutató éghajlati kitettségi indikátor és háromosztatú jelzőlámpa kategorizálása alapján a következők állapíthatóak meg:  </w:t>
      </w:r>
    </w:p>
    <w:p w14:paraId="5E5951FA" w14:textId="77777777" w:rsidR="004C2AE9" w:rsidRPr="006D5975" w:rsidRDefault="004C2AE9" w:rsidP="006D5975">
      <w:pPr>
        <w:pStyle w:val="Listaszerbekezds"/>
        <w:numPr>
          <w:ilvl w:val="0"/>
          <w:numId w:val="23"/>
        </w:numPr>
        <w:rPr>
          <w:szCs w:val="24"/>
        </w:rPr>
      </w:pPr>
      <w:r w:rsidRPr="006D5975">
        <w:rPr>
          <w:szCs w:val="24"/>
        </w:rPr>
        <w:t xml:space="preserve">Középtávon az optimista forgatókönyv (RCP 4.5) és a pesszimista forgatókönyv (RCP 8.5) alapján is a hálózat </w:t>
      </w:r>
      <w:r w:rsidR="007E5F23" w:rsidRPr="006D5975">
        <w:rPr>
          <w:szCs w:val="24"/>
        </w:rPr>
        <w:t>felszíni létesítményeinek</w:t>
      </w:r>
      <w:r w:rsidRPr="006D5975">
        <w:rPr>
          <w:szCs w:val="24"/>
        </w:rPr>
        <w:t xml:space="preserve"> </w:t>
      </w:r>
      <w:r w:rsidR="007E5F23" w:rsidRPr="006D5975">
        <w:rPr>
          <w:szCs w:val="24"/>
        </w:rPr>
        <w:t>szinte mindegyike</w:t>
      </w:r>
      <w:r w:rsidRPr="006D5975">
        <w:rPr>
          <w:szCs w:val="24"/>
        </w:rPr>
        <w:t xml:space="preserve"> a kevéssé kitett kategóriába tartozik majd</w:t>
      </w:r>
      <w:r w:rsidR="007E5F23" w:rsidRPr="006D5975">
        <w:rPr>
          <w:szCs w:val="24"/>
        </w:rPr>
        <w:t xml:space="preserve"> a vizsgált indikátorokat figyelembevéve</w:t>
      </w:r>
      <w:r w:rsidRPr="006D5975">
        <w:rPr>
          <w:szCs w:val="24"/>
        </w:rPr>
        <w:t xml:space="preserve">. </w:t>
      </w:r>
    </w:p>
    <w:p w14:paraId="224B0234" w14:textId="77777777" w:rsidR="007C1BFC" w:rsidRPr="006D5975" w:rsidRDefault="004C2AE9" w:rsidP="006D5975">
      <w:pPr>
        <w:pStyle w:val="Listaszerbekezds"/>
        <w:numPr>
          <w:ilvl w:val="0"/>
          <w:numId w:val="23"/>
        </w:numPr>
        <w:rPr>
          <w:szCs w:val="24"/>
        </w:rPr>
      </w:pPr>
      <w:r w:rsidRPr="006D5975">
        <w:rPr>
          <w:szCs w:val="24"/>
        </w:rPr>
        <w:lastRenderedPageBreak/>
        <w:t xml:space="preserve">A hosszútávú klimatológiai változásokat (2071-2100) megjelenítő modellek esetén az optimista forgatókönyv (RCP 4.5) szerint a nagynyomású földgázhálózat </w:t>
      </w:r>
      <w:r w:rsidR="007E5F23" w:rsidRPr="006D5975">
        <w:rPr>
          <w:szCs w:val="24"/>
        </w:rPr>
        <w:t>felszíni létesítményeinek</w:t>
      </w:r>
      <w:r w:rsidRPr="006D5975">
        <w:rPr>
          <w:szCs w:val="24"/>
        </w:rPr>
        <w:t xml:space="preserve"> egy </w:t>
      </w:r>
      <w:r w:rsidR="007C1BFC" w:rsidRPr="006D5975">
        <w:rPr>
          <w:szCs w:val="24"/>
        </w:rPr>
        <w:t xml:space="preserve">kis </w:t>
      </w:r>
      <w:r w:rsidRPr="006D5975">
        <w:rPr>
          <w:szCs w:val="24"/>
        </w:rPr>
        <w:t xml:space="preserve">része </w:t>
      </w:r>
      <w:r w:rsidR="007E5F23" w:rsidRPr="006D5975">
        <w:rPr>
          <w:szCs w:val="24"/>
        </w:rPr>
        <w:t xml:space="preserve">valószínűleg </w:t>
      </w:r>
      <w:r w:rsidRPr="006D5975">
        <w:rPr>
          <w:szCs w:val="24"/>
        </w:rPr>
        <w:t>a közepe</w:t>
      </w:r>
      <w:r w:rsidR="007E5F23" w:rsidRPr="006D5975">
        <w:rPr>
          <w:szCs w:val="24"/>
        </w:rPr>
        <w:t>sen</w:t>
      </w:r>
      <w:r w:rsidR="007C1BFC" w:rsidRPr="006D5975">
        <w:rPr>
          <w:szCs w:val="24"/>
        </w:rPr>
        <w:t xml:space="preserve"> vagy erősen</w:t>
      </w:r>
      <w:r w:rsidR="007E5F23" w:rsidRPr="006D5975">
        <w:rPr>
          <w:szCs w:val="24"/>
        </w:rPr>
        <w:t xml:space="preserve"> kitett kategóriába esik</w:t>
      </w:r>
      <w:r w:rsidRPr="006D5975">
        <w:rPr>
          <w:szCs w:val="24"/>
        </w:rPr>
        <w:t xml:space="preserve">. </w:t>
      </w:r>
      <w:r w:rsidR="007E5F23" w:rsidRPr="006D5975">
        <w:rPr>
          <w:szCs w:val="24"/>
        </w:rPr>
        <w:t xml:space="preserve">Több példa található </w:t>
      </w:r>
      <w:r w:rsidR="007C1BFC" w:rsidRPr="006D5975">
        <w:rPr>
          <w:szCs w:val="24"/>
        </w:rPr>
        <w:t>a Balaton,</w:t>
      </w:r>
      <w:r w:rsidR="007E5F23" w:rsidRPr="006D5975">
        <w:rPr>
          <w:szCs w:val="24"/>
        </w:rPr>
        <w:t xml:space="preserve"> a Dél</w:t>
      </w:r>
      <w:r w:rsidR="007C1BFC" w:rsidRPr="006D5975">
        <w:rPr>
          <w:szCs w:val="24"/>
        </w:rPr>
        <w:t>- és a Nyugat</w:t>
      </w:r>
      <w:r w:rsidR="007E5F23" w:rsidRPr="006D5975">
        <w:rPr>
          <w:szCs w:val="24"/>
        </w:rPr>
        <w:t xml:space="preserve">-Dunántúl </w:t>
      </w:r>
      <w:r w:rsidRPr="006D5975">
        <w:rPr>
          <w:szCs w:val="24"/>
        </w:rPr>
        <w:t>egyes térségei</w:t>
      </w:r>
      <w:r w:rsidR="007C1BFC" w:rsidRPr="006D5975">
        <w:rPr>
          <w:szCs w:val="24"/>
        </w:rPr>
        <w:t>ben</w:t>
      </w:r>
      <w:r w:rsidRPr="006D5975">
        <w:rPr>
          <w:szCs w:val="24"/>
        </w:rPr>
        <w:t xml:space="preserve"> </w:t>
      </w:r>
      <w:r w:rsidR="007C1BFC" w:rsidRPr="006D5975">
        <w:rPr>
          <w:szCs w:val="24"/>
        </w:rPr>
        <w:t>több gázátadó és néhány csomópont esetében</w:t>
      </w:r>
      <w:r w:rsidRPr="006D5975">
        <w:rPr>
          <w:szCs w:val="24"/>
        </w:rPr>
        <w:t xml:space="preserve">. </w:t>
      </w:r>
    </w:p>
    <w:p w14:paraId="6D41C341" w14:textId="77777777" w:rsidR="004C2AE9" w:rsidRPr="006D5975" w:rsidRDefault="004C2AE9" w:rsidP="006D5975">
      <w:pPr>
        <w:pStyle w:val="Listaszerbekezds"/>
        <w:numPr>
          <w:ilvl w:val="0"/>
          <w:numId w:val="23"/>
        </w:numPr>
        <w:rPr>
          <w:szCs w:val="24"/>
        </w:rPr>
      </w:pPr>
      <w:r w:rsidRPr="006D5975">
        <w:rPr>
          <w:szCs w:val="24"/>
        </w:rPr>
        <w:t xml:space="preserve">A pesszimista forgatókönyv (RCP 8.5) hosszútávú előremodellezése alapján viszont kijelenthető, hogy számos </w:t>
      </w:r>
      <w:r w:rsidR="007E5F23" w:rsidRPr="006D5975">
        <w:rPr>
          <w:szCs w:val="24"/>
        </w:rPr>
        <w:t>felszíni létesítmény</w:t>
      </w:r>
      <w:r w:rsidRPr="006D5975">
        <w:rPr>
          <w:szCs w:val="24"/>
        </w:rPr>
        <w:t xml:space="preserve"> </w:t>
      </w:r>
      <w:r w:rsidR="007E5F23" w:rsidRPr="006D5975">
        <w:rPr>
          <w:szCs w:val="24"/>
        </w:rPr>
        <w:t xml:space="preserve">várhatóan </w:t>
      </w:r>
      <w:r w:rsidRPr="006D5975">
        <w:rPr>
          <w:szCs w:val="24"/>
        </w:rPr>
        <w:t>a közepesen kitett kategóriába kerül</w:t>
      </w:r>
      <w:r w:rsidR="007E5F23" w:rsidRPr="006D5975">
        <w:rPr>
          <w:szCs w:val="24"/>
        </w:rPr>
        <w:t>het</w:t>
      </w:r>
      <w:r w:rsidR="007C1BFC" w:rsidRPr="006D5975">
        <w:rPr>
          <w:szCs w:val="24"/>
        </w:rPr>
        <w:t>, de jelentős számú gázátadó</w:t>
      </w:r>
      <w:r w:rsidRPr="006D5975">
        <w:rPr>
          <w:szCs w:val="24"/>
        </w:rPr>
        <w:t xml:space="preserve"> </w:t>
      </w:r>
      <w:r w:rsidR="00C47D08" w:rsidRPr="006D5975">
        <w:rPr>
          <w:szCs w:val="24"/>
        </w:rPr>
        <w:t xml:space="preserve">és néhány csomópont </w:t>
      </w:r>
      <w:r w:rsidRPr="006D5975">
        <w:rPr>
          <w:szCs w:val="24"/>
        </w:rPr>
        <w:t>az erősen kitett kategóriába kerül</w:t>
      </w:r>
      <w:r w:rsidR="007E5F23" w:rsidRPr="006D5975">
        <w:rPr>
          <w:szCs w:val="24"/>
        </w:rPr>
        <w:t>het</w:t>
      </w:r>
      <w:r w:rsidR="00C47D08" w:rsidRPr="006D5975">
        <w:rPr>
          <w:szCs w:val="24"/>
        </w:rPr>
        <w:t xml:space="preserve"> várhatóan főleg</w:t>
      </w:r>
      <w:r w:rsidRPr="006D5975">
        <w:rPr>
          <w:szCs w:val="24"/>
        </w:rPr>
        <w:t xml:space="preserve"> a Dél-Dunántúlon (például </w:t>
      </w:r>
      <w:r w:rsidR="007C1BFC" w:rsidRPr="006D5975">
        <w:rPr>
          <w:szCs w:val="24"/>
        </w:rPr>
        <w:t>Marcali</w:t>
      </w:r>
      <w:r w:rsidRPr="006D5975">
        <w:rPr>
          <w:szCs w:val="24"/>
        </w:rPr>
        <w:t xml:space="preserve"> térsége), és a Dél-Alföldön (például </w:t>
      </w:r>
      <w:r w:rsidR="007C1BFC" w:rsidRPr="006D5975">
        <w:rPr>
          <w:szCs w:val="24"/>
        </w:rPr>
        <w:t xml:space="preserve">Baja, Szeged és Békéscsaba </w:t>
      </w:r>
      <w:r w:rsidRPr="006D5975">
        <w:rPr>
          <w:szCs w:val="24"/>
        </w:rPr>
        <w:t>térsége</w:t>
      </w:r>
      <w:r w:rsidR="007C1BFC" w:rsidRPr="006D5975">
        <w:rPr>
          <w:szCs w:val="24"/>
        </w:rPr>
        <w:t>i</w:t>
      </w:r>
      <w:r w:rsidRPr="006D5975">
        <w:rPr>
          <w:szCs w:val="24"/>
        </w:rPr>
        <w:t>). Kevéssé kitett kategória csak néhány esetben várható a számítások alapján</w:t>
      </w:r>
      <w:r w:rsidR="007C1BFC" w:rsidRPr="006D5975">
        <w:rPr>
          <w:szCs w:val="24"/>
        </w:rPr>
        <w:t xml:space="preserve"> főleg a Sajó völgyére koncentrálva</w:t>
      </w:r>
      <w:r w:rsidRPr="006D5975">
        <w:rPr>
          <w:szCs w:val="24"/>
        </w:rPr>
        <w:t xml:space="preserve">. </w:t>
      </w:r>
    </w:p>
    <w:p w14:paraId="65F9C3DC" w14:textId="77777777" w:rsidR="004C2AE9" w:rsidRPr="00F92169" w:rsidRDefault="004C2AE9" w:rsidP="004C2AE9">
      <w:pPr>
        <w:rPr>
          <w:szCs w:val="24"/>
        </w:rPr>
      </w:pPr>
    </w:p>
    <w:p w14:paraId="5023141B" w14:textId="77777777" w:rsidR="00A21A0B" w:rsidRPr="00592227" w:rsidRDefault="00A21A0B" w:rsidP="003C305A">
      <w:pPr>
        <w:ind w:firstLine="0"/>
        <w:jc w:val="center"/>
      </w:pPr>
      <w:r w:rsidRPr="00592227">
        <w:rPr>
          <w:noProof/>
          <w:lang w:eastAsia="hu-HU"/>
          <w14:ligatures w14:val="none"/>
        </w:rPr>
        <w:drawing>
          <wp:inline distT="0" distB="0" distL="0" distR="0" wp14:anchorId="3B0B8697" wp14:editId="44371045">
            <wp:extent cx="5760720" cy="4570730"/>
            <wp:effectExtent l="0" t="0" r="0" b="127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z_rendszerelemek_egh_komplex_allo_teliszines_230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4570730"/>
                    </a:xfrm>
                    <a:prstGeom prst="rect">
                      <a:avLst/>
                    </a:prstGeom>
                  </pic:spPr>
                </pic:pic>
              </a:graphicData>
            </a:graphic>
          </wp:inline>
        </w:drawing>
      </w:r>
    </w:p>
    <w:p w14:paraId="09E6BC8B" w14:textId="77777777" w:rsidR="004D28E8" w:rsidRPr="00592227" w:rsidRDefault="00BF16AA" w:rsidP="003C305A">
      <w:pPr>
        <w:ind w:firstLine="0"/>
        <w:jc w:val="center"/>
        <w:rPr>
          <w:i/>
          <w:sz w:val="22"/>
          <w:szCs w:val="22"/>
        </w:rPr>
      </w:pPr>
      <w:r w:rsidRPr="00592227">
        <w:rPr>
          <w:b/>
          <w:i/>
        </w:rPr>
        <w:t>9.</w:t>
      </w:r>
      <w:r w:rsidR="004D28E8" w:rsidRPr="00592227">
        <w:rPr>
          <w:b/>
          <w:i/>
        </w:rPr>
        <w:t xml:space="preserve"> </w:t>
      </w:r>
      <w:r w:rsidRPr="00592227">
        <w:rPr>
          <w:b/>
          <w:i/>
        </w:rPr>
        <w:t>ábra</w:t>
      </w:r>
      <w:r w:rsidR="004D28E8" w:rsidRPr="00592227">
        <w:rPr>
          <w:i/>
        </w:rPr>
        <w:t xml:space="preserve"> </w:t>
      </w:r>
      <w:r w:rsidR="004D28E8" w:rsidRPr="00592227">
        <w:rPr>
          <w:i/>
          <w:sz w:val="22"/>
          <w:szCs w:val="22"/>
        </w:rPr>
        <w:t xml:space="preserve">A földgázhálózat </w:t>
      </w:r>
      <w:r w:rsidR="00C27711" w:rsidRPr="00592227">
        <w:rPr>
          <w:i/>
          <w:sz w:val="22"/>
          <w:szCs w:val="22"/>
        </w:rPr>
        <w:t xml:space="preserve">vizsgált </w:t>
      </w:r>
      <w:r w:rsidR="004D28E8" w:rsidRPr="00592227">
        <w:rPr>
          <w:i/>
          <w:sz w:val="22"/>
          <w:szCs w:val="22"/>
        </w:rPr>
        <w:t>felszíni létesítményeinek várható éghajlati kitettségi besorolása közép- és hosszútávon az optimista és a pesszimista forgatókönyvek alapján</w:t>
      </w:r>
    </w:p>
    <w:p w14:paraId="1F3B1409" w14:textId="77777777" w:rsidR="00BF16AA" w:rsidRPr="00592227" w:rsidRDefault="00BF16AA" w:rsidP="00DE357F"/>
    <w:p w14:paraId="6B49F84E" w14:textId="77777777" w:rsidR="00D925AB" w:rsidRPr="00592227" w:rsidRDefault="00D925AB" w:rsidP="00DE357F">
      <w:r w:rsidRPr="00DE357F">
        <w:t xml:space="preserve">A földgázhálózat felszíni létesítményeinek jelenbeli komplex földtani kitettsége </w:t>
      </w:r>
      <w:r w:rsidR="009E6CB1" w:rsidRPr="00DE357F">
        <w:t xml:space="preserve">(10. ábra) </w:t>
      </w:r>
      <w:r w:rsidRPr="00DE357F">
        <w:t>területileg viszonylag eltérő képet mutat. A komplex, 10 sekélyföldtani mutató jellemzőit magába foglaló pontozás alapján a legtöbb felszíni létesítmény a közepesen kitett kategóriába került. Kivételt az Északi-középhegységben, a Balaton tágabb térségében és Budapest agglomerációjában található létesítmények jelentenek, amelyek például a kedvezőbb kőzetállékonysági és felszín alatti vízháztartás besorolások alapján a kevéssé kitett kategóriába kerültek (például: Pásztó, Szécsény, Százhalombatta, Dorog, Veszprém, Zalaegerszeg).</w:t>
      </w:r>
      <w:r w:rsidR="009E6CB1" w:rsidRPr="00DE357F">
        <w:t xml:space="preserve"> Egyedi jelenség, hogy Miskolc térségében több felszínmozgásos esemény miatt néhány gázátadó az erősen kitett kategóriába került.</w:t>
      </w:r>
    </w:p>
    <w:p w14:paraId="562C75D1" w14:textId="77777777" w:rsidR="00A21A0B" w:rsidRPr="00592227" w:rsidRDefault="00A21A0B" w:rsidP="003C305A">
      <w:pPr>
        <w:ind w:firstLine="0"/>
        <w:jc w:val="center"/>
      </w:pPr>
      <w:r w:rsidRPr="00592227">
        <w:rPr>
          <w:noProof/>
          <w:lang w:eastAsia="hu-HU"/>
          <w14:ligatures w14:val="none"/>
        </w:rPr>
        <w:lastRenderedPageBreak/>
        <w:drawing>
          <wp:inline distT="0" distB="0" distL="0" distR="0" wp14:anchorId="0F77F080" wp14:editId="07521247">
            <wp:extent cx="5313045" cy="3438955"/>
            <wp:effectExtent l="0" t="0" r="1905"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z_rendszerelemek_fdt_komplex_23082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14008" cy="3439578"/>
                    </a:xfrm>
                    <a:prstGeom prst="rect">
                      <a:avLst/>
                    </a:prstGeom>
                  </pic:spPr>
                </pic:pic>
              </a:graphicData>
            </a:graphic>
          </wp:inline>
        </w:drawing>
      </w:r>
    </w:p>
    <w:p w14:paraId="31F9A057" w14:textId="77777777" w:rsidR="00BF16AA" w:rsidRPr="00592227" w:rsidRDefault="00BF16AA" w:rsidP="003C305A">
      <w:pPr>
        <w:ind w:firstLine="0"/>
        <w:jc w:val="center"/>
        <w:rPr>
          <w:i/>
          <w:sz w:val="22"/>
          <w:szCs w:val="22"/>
        </w:rPr>
      </w:pPr>
      <w:r w:rsidRPr="00592227">
        <w:rPr>
          <w:b/>
          <w:i/>
        </w:rPr>
        <w:t>10.</w:t>
      </w:r>
      <w:r w:rsidR="004D28E8" w:rsidRPr="00592227">
        <w:rPr>
          <w:b/>
          <w:i/>
        </w:rPr>
        <w:t xml:space="preserve"> </w:t>
      </w:r>
      <w:r w:rsidRPr="00592227">
        <w:rPr>
          <w:b/>
          <w:i/>
        </w:rPr>
        <w:t>ábra</w:t>
      </w:r>
      <w:r w:rsidR="004D28E8" w:rsidRPr="00592227">
        <w:t xml:space="preserve"> </w:t>
      </w:r>
      <w:r w:rsidR="004D28E8" w:rsidRPr="00592227">
        <w:rPr>
          <w:i/>
          <w:sz w:val="22"/>
          <w:szCs w:val="22"/>
        </w:rPr>
        <w:t xml:space="preserve">A földgázhálózat </w:t>
      </w:r>
      <w:r w:rsidR="00C27711" w:rsidRPr="00592227">
        <w:rPr>
          <w:i/>
          <w:sz w:val="22"/>
          <w:szCs w:val="22"/>
        </w:rPr>
        <w:t xml:space="preserve">vizsgált </w:t>
      </w:r>
      <w:r w:rsidR="004D28E8" w:rsidRPr="00592227">
        <w:rPr>
          <w:i/>
          <w:sz w:val="22"/>
          <w:szCs w:val="22"/>
        </w:rPr>
        <w:t>felszíni létesítményeinek földtani kitettségi besorolása</w:t>
      </w:r>
    </w:p>
    <w:p w14:paraId="664355AD" w14:textId="77777777" w:rsidR="009E6CB1" w:rsidRPr="00592227" w:rsidRDefault="009E6CB1" w:rsidP="00DE357F"/>
    <w:p w14:paraId="2560199B" w14:textId="77777777" w:rsidR="00C27711" w:rsidRPr="00592227" w:rsidRDefault="006012C9" w:rsidP="006D5975">
      <w:pPr>
        <w:pStyle w:val="Cmsor2"/>
        <w:rPr>
          <w:noProof/>
        </w:rPr>
      </w:pPr>
      <w:bookmarkStart w:id="15" w:name="_Toc147484197"/>
      <w:r w:rsidRPr="00592227">
        <w:t>7.3</w:t>
      </w:r>
      <w:r w:rsidR="00EB300D" w:rsidRPr="00592227">
        <w:t xml:space="preserve"> </w:t>
      </w:r>
      <w:r w:rsidR="00C27711" w:rsidRPr="00592227">
        <w:rPr>
          <w:noProof/>
        </w:rPr>
        <w:t>A nagynyomású földgázhálózat vizsgált felszíni létesítményeinek érzékenységi adottságai</w:t>
      </w:r>
      <w:bookmarkEnd w:id="15"/>
      <w:r w:rsidR="00C27711" w:rsidRPr="00592227">
        <w:rPr>
          <w:noProof/>
        </w:rPr>
        <w:t xml:space="preserve"> </w:t>
      </w:r>
    </w:p>
    <w:p w14:paraId="5BAED3F5" w14:textId="77777777" w:rsidR="00886E84" w:rsidRPr="00DE357F" w:rsidRDefault="00943420" w:rsidP="00D85A43">
      <w:r w:rsidRPr="00DE357F">
        <w:t>A nagynyomású hazai földgáz</w:t>
      </w:r>
      <w:r w:rsidR="00886E84" w:rsidRPr="00DE357F">
        <w:t>hálózat</w:t>
      </w:r>
      <w:r w:rsidR="00D85A43" w:rsidRPr="00DE357F">
        <w:t xml:space="preserve"> ér</w:t>
      </w:r>
      <w:r w:rsidR="00886E84" w:rsidRPr="00DE357F">
        <w:t>zékenységi besorolásának</w:t>
      </w:r>
      <w:r w:rsidR="00D85A43" w:rsidRPr="00DE357F">
        <w:t xml:space="preserve"> </w:t>
      </w:r>
      <w:r w:rsidR="00886E84" w:rsidRPr="00DE357F">
        <w:t>alapja a három létesítménycsoport időjárási eseményektől és részben földtani folyamatoktól való védettsége volt</w:t>
      </w:r>
      <w:r w:rsidR="00D85A43" w:rsidRPr="00DE357F">
        <w:t xml:space="preserve">. </w:t>
      </w:r>
      <w:r w:rsidR="00886E84" w:rsidRPr="00DE357F">
        <w:t>A védelem nélküli úgynevezett síkállomások</w:t>
      </w:r>
      <w:r w:rsidR="00C60184" w:rsidRPr="00DE357F">
        <w:t xml:space="preserve"> közül</w:t>
      </w:r>
      <w:r w:rsidR="00886E84" w:rsidRPr="00DE357F">
        <w:t>, amelyek közt csomópontok, több gázátadó</w:t>
      </w:r>
      <w:r w:rsidR="00C60184" w:rsidRPr="00DE357F">
        <w:t xml:space="preserve"> is található</w:t>
      </w:r>
      <w:r w:rsidR="00886E84" w:rsidRPr="00DE357F">
        <w:t xml:space="preserve"> az erősen érzékeny kategóriába kerültek. Ezzel szemben például a kompresszorállomások berendezései épületekben, különféle építményekben helyezkednek, így kevéssé érzékenyek. E</w:t>
      </w:r>
      <w:r w:rsidR="00C60184" w:rsidRPr="00DE357F">
        <w:t xml:space="preserve"> kategorizálás szerint e</w:t>
      </w:r>
      <w:r w:rsidR="00886E84" w:rsidRPr="00DE357F">
        <w:t xml:space="preserve">rősen érzékeny létesítmények főleg a Sajó-völgyében, </w:t>
      </w:r>
      <w:r w:rsidR="00C60184" w:rsidRPr="00DE357F">
        <w:t xml:space="preserve">a Dél-Alföldön, Budapest térségében és a Balaton tágabb térségében találhatóak. Kevéssé érzékenyek a Nyugat- és </w:t>
      </w:r>
      <w:proofErr w:type="gramStart"/>
      <w:r w:rsidR="00C60184" w:rsidRPr="00DE357F">
        <w:t>Észak-Dunántúl</w:t>
      </w:r>
      <w:proofErr w:type="gramEnd"/>
      <w:r w:rsidR="00C60184" w:rsidRPr="00DE357F">
        <w:t xml:space="preserve"> valamint az Észak-Alföldön találhatóak nagyobb számban.</w:t>
      </w:r>
    </w:p>
    <w:p w14:paraId="07E3D89B" w14:textId="77777777" w:rsidR="00D85A43" w:rsidRPr="00DE357F" w:rsidRDefault="00886E84" w:rsidP="00D85A43">
      <w:r w:rsidRPr="00DE357F">
        <w:t>Ez</w:t>
      </w:r>
      <w:r w:rsidR="00D85A43" w:rsidRPr="00DE357F">
        <w:t xml:space="preserve"> a kategorizálás természetesen az egymáshoz viszonyított pontozást, értékelést mutatja, és semmiféleképpen nem jelenti, hogy ezek a vezetékszakaszok bármilyen módon problémásak lennének. Erre garancia a magas színvonalú és folyamatos monitoring tevékenység (például csőgörényezési tevékenység és értékelése), a folyamatos karbantartás, felújítás, fejlesztés, amelyeket az FGSZ tervszerűen, rendszeresen végez.</w:t>
      </w:r>
    </w:p>
    <w:p w14:paraId="44FB30F8" w14:textId="77777777" w:rsidR="007F456E" w:rsidRPr="00592227" w:rsidRDefault="007F456E" w:rsidP="00DE357F"/>
    <w:p w14:paraId="1DA6542E" w14:textId="77777777" w:rsidR="00A21A0B" w:rsidRPr="00592227" w:rsidRDefault="00A21A0B" w:rsidP="003C305A">
      <w:pPr>
        <w:ind w:firstLine="0"/>
        <w:jc w:val="center"/>
      </w:pPr>
      <w:r w:rsidRPr="00592227">
        <w:rPr>
          <w:noProof/>
          <w:lang w:eastAsia="hu-HU"/>
          <w14:ligatures w14:val="none"/>
        </w:rPr>
        <w:lastRenderedPageBreak/>
        <w:drawing>
          <wp:inline distT="0" distB="0" distL="0" distR="0" wp14:anchorId="7293F4F9" wp14:editId="3129E3BA">
            <wp:extent cx="5760720" cy="3728720"/>
            <wp:effectExtent l="0" t="0" r="0" b="508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z_rendszerelemek_erz_2308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728720"/>
                    </a:xfrm>
                    <a:prstGeom prst="rect">
                      <a:avLst/>
                    </a:prstGeom>
                  </pic:spPr>
                </pic:pic>
              </a:graphicData>
            </a:graphic>
          </wp:inline>
        </w:drawing>
      </w:r>
    </w:p>
    <w:p w14:paraId="2629CEEE" w14:textId="77777777" w:rsidR="00BF16AA" w:rsidRPr="00592227" w:rsidRDefault="00BF16AA" w:rsidP="003C305A">
      <w:pPr>
        <w:ind w:firstLine="0"/>
        <w:jc w:val="center"/>
        <w:rPr>
          <w:i/>
          <w:sz w:val="22"/>
          <w:szCs w:val="22"/>
        </w:rPr>
      </w:pPr>
      <w:r w:rsidRPr="00592227">
        <w:rPr>
          <w:b/>
          <w:i/>
        </w:rPr>
        <w:t>11.</w:t>
      </w:r>
      <w:r w:rsidR="004D28E8" w:rsidRPr="00592227">
        <w:rPr>
          <w:b/>
          <w:i/>
        </w:rPr>
        <w:t xml:space="preserve"> </w:t>
      </w:r>
      <w:r w:rsidRPr="00592227">
        <w:rPr>
          <w:b/>
          <w:i/>
        </w:rPr>
        <w:t>ábra</w:t>
      </w:r>
      <w:r w:rsidR="004D28E8" w:rsidRPr="00592227">
        <w:t xml:space="preserve"> </w:t>
      </w:r>
      <w:r w:rsidR="004D28E8" w:rsidRPr="00592227">
        <w:rPr>
          <w:i/>
          <w:sz w:val="22"/>
          <w:szCs w:val="22"/>
        </w:rPr>
        <w:t xml:space="preserve">A nagynyomású földgázhálózat </w:t>
      </w:r>
      <w:r w:rsidR="00C27711" w:rsidRPr="00592227">
        <w:rPr>
          <w:i/>
          <w:sz w:val="22"/>
          <w:szCs w:val="22"/>
        </w:rPr>
        <w:t xml:space="preserve">vizsgált </w:t>
      </w:r>
      <w:r w:rsidR="004D28E8" w:rsidRPr="00592227">
        <w:rPr>
          <w:i/>
          <w:sz w:val="22"/>
          <w:szCs w:val="22"/>
        </w:rPr>
        <w:t>felszíni létesítményeinek érzékenységi besorolása az érzékenységi indikátor alapján</w:t>
      </w:r>
    </w:p>
    <w:p w14:paraId="3041E394" w14:textId="77777777" w:rsidR="004D28E8" w:rsidRPr="00592227" w:rsidRDefault="004D28E8" w:rsidP="00DE357F"/>
    <w:p w14:paraId="4757327B" w14:textId="2E5D41FE" w:rsidR="00A21A0B" w:rsidRPr="00592227" w:rsidRDefault="006012C9" w:rsidP="006D5975">
      <w:pPr>
        <w:pStyle w:val="Cmsor2"/>
        <w:rPr>
          <w:noProof/>
        </w:rPr>
      </w:pPr>
      <w:bookmarkStart w:id="16" w:name="_Toc147484198"/>
      <w:r w:rsidRPr="00592227">
        <w:rPr>
          <w:noProof/>
        </w:rPr>
        <w:t>7.4</w:t>
      </w:r>
      <w:r w:rsidR="00A21A0B" w:rsidRPr="00592227">
        <w:rPr>
          <w:noProof/>
        </w:rPr>
        <w:t>.</w:t>
      </w:r>
      <w:r w:rsidR="003F4791" w:rsidRPr="00592227">
        <w:rPr>
          <w:noProof/>
        </w:rPr>
        <w:t xml:space="preserve"> </w:t>
      </w:r>
      <w:r w:rsidR="00C27711" w:rsidRPr="00592227">
        <w:rPr>
          <w:noProof/>
        </w:rPr>
        <w:t xml:space="preserve">A nagynyomású földgázhálózat </w:t>
      </w:r>
      <w:r w:rsidR="00B026E6" w:rsidRPr="00592227">
        <w:rPr>
          <w:noProof/>
        </w:rPr>
        <w:t>vizsgált felszíni létesítményeinek</w:t>
      </w:r>
      <w:r w:rsidR="00C27711" w:rsidRPr="00592227">
        <w:rPr>
          <w:noProof/>
        </w:rPr>
        <w:t xml:space="preserve"> esetében várható komplex hatások</w:t>
      </w:r>
      <w:bookmarkEnd w:id="16"/>
    </w:p>
    <w:p w14:paraId="70378E30" w14:textId="77777777" w:rsidR="0095434E" w:rsidRPr="00DE357F" w:rsidRDefault="005E16A7" w:rsidP="005E16A7">
      <w:r w:rsidRPr="00DE357F">
        <w:t xml:space="preserve">Az éghajlati és földtani kitettségi mutatók </w:t>
      </w:r>
      <w:proofErr w:type="gramStart"/>
      <w:r w:rsidRPr="00DE357F">
        <w:t>alapján</w:t>
      </w:r>
      <w:proofErr w:type="gramEnd"/>
      <w:r w:rsidRPr="00DE357F">
        <w:t xml:space="preserve"> valamint a komplex érzékenységi mutatókból várható hatásra vonatkozó összetett hatásindikátort képeztünk a nagynyomású földgázhálózat felszíni létesítményeire. Ennek besorolását az alábbi 4 tematikus térkép tartalmazza. </w:t>
      </w:r>
      <w:r w:rsidR="0095434E" w:rsidRPr="00DE357F">
        <w:t>A hatás számításához szükséges képletet a módszertani tanulmány tartalmazza, ám a számítások elvégzése és a számított adatok áttekintése után tudtuk csak létrehozni a háromosztatú úgynevezett jelzőlámpa besorolást, amelynek kategóriái: 0-5 pont alacsony várható hatás, 6-10 pont közepes várható hatás, 11 pont felett magas várható hatás.</w:t>
      </w:r>
    </w:p>
    <w:p w14:paraId="105711E5" w14:textId="77777777" w:rsidR="005E16A7" w:rsidRPr="00DE357F" w:rsidRDefault="005E16A7" w:rsidP="005E16A7">
      <w:r w:rsidRPr="00DE357F">
        <w:t xml:space="preserve"> Az éghajlati modellezések eredményeit figyelembe véve megállapítható, hogy középtávon (2021-2050) a legtöbb hazai felszíni létesítmény esetén várhatóan alacsony (Nyugat- és Észak-Dunántúl, Észak-Alföld, Észak-Magyarország) vagy alacsony és közepes (például Budapest, Miskolc, Szeged térsége) lesz az összetett hatás. Erős komplex hatást mutató felszíni létesítmény középtávon nem található a számított indikátorok közt.</w:t>
      </w:r>
    </w:p>
    <w:p w14:paraId="57B7D16D" w14:textId="77777777" w:rsidR="005E16A7" w:rsidRPr="00DE357F" w:rsidRDefault="005E16A7" w:rsidP="005E16A7">
      <w:r w:rsidRPr="00DE357F">
        <w:t xml:space="preserve">A hosszútávú (2071-2100) előrejelzések már árnyaltabb és erőteljesebb hatásokat vetítenek előre különösen a pesszimista éghajlati forgatókönyv (RCP 8.5) alapján. Nagy arányban csökken majd a várhatóan alacsony hatású kategóriába sorolt létesítmények száma. Zala és Veszprém (Ajka-Devecseri-árok) </w:t>
      </w:r>
      <w:r w:rsidR="0095434E" w:rsidRPr="00DE357F">
        <w:t>vármegyék</w:t>
      </w:r>
      <w:r w:rsidR="00F45AF0" w:rsidRPr="00DE357F">
        <w:t xml:space="preserve"> és a Dél-Alföld</w:t>
      </w:r>
      <w:r w:rsidRPr="00DE357F">
        <w:t xml:space="preserve"> több létesítménye (például csomópontok) is a magas várható hatással jellemezhető kategóriába került. </w:t>
      </w:r>
      <w:r w:rsidR="0095434E" w:rsidRPr="00DE357F">
        <w:t>Budapest térségében például diverz, szórt területi besorolást mutat az előrejelzés több erős hatással bíró létesítménnyel. A kompresszorállomások kivétel nélkül az alacsony várható mutató létesítmények közé tartoznak majd</w:t>
      </w:r>
      <w:r w:rsidR="003F60A3" w:rsidRPr="00DE357F">
        <w:t>.</w:t>
      </w:r>
    </w:p>
    <w:p w14:paraId="6E1831B3" w14:textId="77777777" w:rsidR="005E16A7" w:rsidRPr="00592227" w:rsidRDefault="005E16A7" w:rsidP="005E16A7"/>
    <w:p w14:paraId="54E11D2A" w14:textId="77777777" w:rsidR="00A21A0B" w:rsidRPr="00592227" w:rsidRDefault="00A21A0B" w:rsidP="003C305A">
      <w:pPr>
        <w:ind w:firstLine="0"/>
        <w:jc w:val="center"/>
      </w:pPr>
      <w:r w:rsidRPr="00592227">
        <w:rPr>
          <w:noProof/>
          <w:lang w:eastAsia="hu-HU"/>
          <w14:ligatures w14:val="none"/>
        </w:rPr>
        <w:lastRenderedPageBreak/>
        <w:drawing>
          <wp:inline distT="0" distB="0" distL="0" distR="0" wp14:anchorId="2F12265F" wp14:editId="6656CF25">
            <wp:extent cx="5760720" cy="3550285"/>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z_rendszerelemek_hatas_fekvo_23082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550285"/>
                    </a:xfrm>
                    <a:prstGeom prst="rect">
                      <a:avLst/>
                    </a:prstGeom>
                  </pic:spPr>
                </pic:pic>
              </a:graphicData>
            </a:graphic>
          </wp:inline>
        </w:drawing>
      </w:r>
    </w:p>
    <w:p w14:paraId="17E2FE38" w14:textId="77777777" w:rsidR="00BF16AA" w:rsidRPr="00592227" w:rsidRDefault="00BF16AA" w:rsidP="003C305A">
      <w:pPr>
        <w:ind w:firstLine="0"/>
        <w:jc w:val="center"/>
        <w:rPr>
          <w:i/>
          <w:sz w:val="22"/>
          <w:szCs w:val="22"/>
        </w:rPr>
      </w:pPr>
      <w:r w:rsidRPr="00592227">
        <w:rPr>
          <w:b/>
          <w:i/>
        </w:rPr>
        <w:t>12.</w:t>
      </w:r>
      <w:r w:rsidR="00C27711" w:rsidRPr="00592227">
        <w:rPr>
          <w:b/>
          <w:i/>
        </w:rPr>
        <w:t xml:space="preserve"> </w:t>
      </w:r>
      <w:r w:rsidRPr="00592227">
        <w:rPr>
          <w:b/>
          <w:i/>
        </w:rPr>
        <w:t>ábra</w:t>
      </w:r>
      <w:r w:rsidR="00C27711" w:rsidRPr="00592227">
        <w:t xml:space="preserve"> </w:t>
      </w:r>
      <w:r w:rsidR="00C27711" w:rsidRPr="00592227">
        <w:rPr>
          <w:i/>
          <w:sz w:val="22"/>
          <w:szCs w:val="22"/>
        </w:rPr>
        <w:t>A nagynyomású földgázhálózat vizsgált felszíni létesítményeinek várható hatásra vonatkozó besorolása a komplex kategóriák alapján</w:t>
      </w:r>
    </w:p>
    <w:p w14:paraId="31126E5D" w14:textId="77777777" w:rsidR="00C27711" w:rsidRPr="00592227" w:rsidRDefault="00C27711" w:rsidP="00DE357F"/>
    <w:p w14:paraId="6B27BD2F" w14:textId="77777777" w:rsidR="00EB300D" w:rsidRPr="00592227" w:rsidRDefault="003F4791" w:rsidP="006D5975">
      <w:pPr>
        <w:pStyle w:val="Cmsor2"/>
        <w:rPr>
          <w:noProof/>
        </w:rPr>
      </w:pPr>
      <w:bookmarkStart w:id="17" w:name="_Toc147484199"/>
      <w:r w:rsidRPr="00592227">
        <w:rPr>
          <w:noProof/>
        </w:rPr>
        <w:t>7.5</w:t>
      </w:r>
      <w:r w:rsidR="00EB300D" w:rsidRPr="00592227">
        <w:rPr>
          <w:noProof/>
        </w:rPr>
        <w:t xml:space="preserve"> </w:t>
      </w:r>
      <w:r w:rsidR="00B026E6" w:rsidRPr="00592227">
        <w:rPr>
          <w:noProof/>
        </w:rPr>
        <w:t>A nagynyomású földgázhálózat vizsgált felszíni létesítményeinek alkalmazkodóképességi adottságai</w:t>
      </w:r>
      <w:bookmarkEnd w:id="17"/>
    </w:p>
    <w:p w14:paraId="0C5201D0" w14:textId="77777777" w:rsidR="001D635F" w:rsidRPr="00DE357F" w:rsidRDefault="001D635F" w:rsidP="001D635F">
      <w:r w:rsidRPr="00DE357F">
        <w:t>Az alkalmazkodóképesség esetén elsősorban a villamos energiával való alternatív ellátás lehetőségei és azok típusa volt a pontozás alapja</w:t>
      </w:r>
      <w:r w:rsidR="00C35257" w:rsidRPr="00DE357F">
        <w:t xml:space="preserve"> (lásd módszertani tanulmány)</w:t>
      </w:r>
      <w:r w:rsidRPr="00DE357F">
        <w:t xml:space="preserve">. Ennek például egy extrém időjárási és/vagy földtani esemény kártétele </w:t>
      </w:r>
      <w:r w:rsidR="00CD5F17" w:rsidRPr="00DE357F">
        <w:t xml:space="preserve">és az újbóli működőképesség elérése </w:t>
      </w:r>
      <w:r w:rsidRPr="00DE357F">
        <w:t xml:space="preserve">esetén lehet nagy jelentősége. Jól érzékelhető volt, hogy a kompresszorállomások alkalmazkodóképessége nagyon jó ilyen szempontból, meghaladja a másik két létesítménycsoportét. A nagyszámú gázátadó döntő többségének ilyen irányú alkalmazkodóképessége alacsony, főleg azért hisz ennél a létesítménytípusnál nincs szükség az összes és magasabb szintű </w:t>
      </w:r>
      <w:r w:rsidR="003F60A3" w:rsidRPr="00DE357F">
        <w:t xml:space="preserve">villamos energia </w:t>
      </w:r>
      <w:r w:rsidRPr="00DE357F">
        <w:t>betáplálás kiépítésére</w:t>
      </w:r>
      <w:r w:rsidR="00C35257" w:rsidRPr="00DE357F">
        <w:t xml:space="preserve"> (13. ábra)</w:t>
      </w:r>
      <w:r w:rsidRPr="00DE357F">
        <w:t>.</w:t>
      </w:r>
    </w:p>
    <w:p w14:paraId="6BFDBF8E" w14:textId="77777777" w:rsidR="001D635F" w:rsidRPr="00DE357F" w:rsidRDefault="001D635F" w:rsidP="001D635F">
      <w:r w:rsidRPr="00DE357F">
        <w:t>Éppen ezért a legtöbb hazai felszíni földgáz létesítmény az indikátorok alapján alacsonyabb alkalmazkodóképességűnek bizonyult</w:t>
      </w:r>
      <w:r w:rsidR="00CD5F17" w:rsidRPr="00DE357F">
        <w:t>.</w:t>
      </w:r>
      <w:r w:rsidRPr="00DE357F">
        <w:t xml:space="preserve"> Közepes és jó alkalmazkodóképességű létesítmények </w:t>
      </w:r>
      <w:r w:rsidR="00C35257" w:rsidRPr="00DE357F">
        <w:t xml:space="preserve">(főleg gázátadók, csomópontok) </w:t>
      </w:r>
      <w:r w:rsidRPr="00DE357F">
        <w:t xml:space="preserve">Budapest és Miskolc </w:t>
      </w:r>
      <w:proofErr w:type="gramStart"/>
      <w:r w:rsidRPr="00DE357F">
        <w:t>térségében</w:t>
      </w:r>
      <w:proofErr w:type="gramEnd"/>
      <w:r w:rsidRPr="00DE357F">
        <w:t xml:space="preserve"> valamint az Észak-Dunántúlon találhatóak.</w:t>
      </w:r>
    </w:p>
    <w:p w14:paraId="16287F21" w14:textId="77777777" w:rsidR="00A21A0B" w:rsidRPr="00592227" w:rsidRDefault="00A21A0B" w:rsidP="00A21A0B">
      <w:pPr>
        <w:ind w:firstLine="0"/>
      </w:pPr>
      <w:r w:rsidRPr="00592227">
        <w:rPr>
          <w:noProof/>
          <w:lang w:eastAsia="hu-HU"/>
          <w14:ligatures w14:val="none"/>
        </w:rPr>
        <w:lastRenderedPageBreak/>
        <w:drawing>
          <wp:inline distT="0" distB="0" distL="0" distR="0" wp14:anchorId="2B55A6F8" wp14:editId="0FF33A7C">
            <wp:extent cx="5760720" cy="3728720"/>
            <wp:effectExtent l="0" t="0" r="0" b="508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z_rendszerelemek_alk_23082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728720"/>
                    </a:xfrm>
                    <a:prstGeom prst="rect">
                      <a:avLst/>
                    </a:prstGeom>
                  </pic:spPr>
                </pic:pic>
              </a:graphicData>
            </a:graphic>
          </wp:inline>
        </w:drawing>
      </w:r>
    </w:p>
    <w:p w14:paraId="6D4E1CDC" w14:textId="77777777" w:rsidR="00BF16AA" w:rsidRPr="00592227" w:rsidRDefault="00BF16AA" w:rsidP="003C305A">
      <w:pPr>
        <w:ind w:firstLine="0"/>
        <w:jc w:val="center"/>
        <w:rPr>
          <w:i/>
          <w:sz w:val="22"/>
          <w:szCs w:val="22"/>
        </w:rPr>
      </w:pPr>
      <w:r w:rsidRPr="00592227">
        <w:rPr>
          <w:b/>
          <w:i/>
        </w:rPr>
        <w:t>13.</w:t>
      </w:r>
      <w:r w:rsidR="00C27711" w:rsidRPr="00592227">
        <w:rPr>
          <w:b/>
          <w:i/>
        </w:rPr>
        <w:t xml:space="preserve"> </w:t>
      </w:r>
      <w:r w:rsidRPr="00592227">
        <w:rPr>
          <w:b/>
          <w:i/>
        </w:rPr>
        <w:t>ábra</w:t>
      </w:r>
      <w:r w:rsidR="00C27711" w:rsidRPr="00592227">
        <w:t xml:space="preserve"> </w:t>
      </w:r>
      <w:r w:rsidR="00C27711" w:rsidRPr="00592227">
        <w:rPr>
          <w:i/>
          <w:sz w:val="22"/>
          <w:szCs w:val="22"/>
        </w:rPr>
        <w:t>A földgázhálózat vizsgált felszíni létesítményeinek alkalmazkodóképességi besorolása a komplex mutató alapján</w:t>
      </w:r>
    </w:p>
    <w:p w14:paraId="5BE93A62" w14:textId="77777777" w:rsidR="00C27711" w:rsidRPr="00592227" w:rsidRDefault="00C27711" w:rsidP="00DE357F"/>
    <w:p w14:paraId="798D8E22" w14:textId="77777777" w:rsidR="00B026E6" w:rsidRPr="00592227" w:rsidRDefault="003F4791" w:rsidP="006D5975">
      <w:pPr>
        <w:pStyle w:val="Cmsor2"/>
      </w:pPr>
      <w:bookmarkStart w:id="18" w:name="_Toc147484200"/>
      <w:r w:rsidRPr="00592227">
        <w:t>7.6</w:t>
      </w:r>
      <w:r w:rsidR="00A21A0B" w:rsidRPr="00592227">
        <w:t xml:space="preserve"> </w:t>
      </w:r>
      <w:r w:rsidRPr="00592227">
        <w:t xml:space="preserve">A </w:t>
      </w:r>
      <w:r w:rsidR="00B026E6" w:rsidRPr="00592227">
        <w:t>földgázhálózat vizsgált felszíni létesítményeinek esetében várható komplex sérülékenység</w:t>
      </w:r>
      <w:bookmarkEnd w:id="18"/>
    </w:p>
    <w:p w14:paraId="173A6EC8" w14:textId="77777777" w:rsidR="00CD4595" w:rsidRPr="00DE357F" w:rsidRDefault="00CD4595" w:rsidP="00CD4595">
      <w:r w:rsidRPr="00DE357F">
        <w:t xml:space="preserve">Az éghajlati és földtani kitettségi, valamint a komplex érzékenységi és alkalmazkodóképességi mutatókból kerültek kialakításra az éghajlati és földtani sérülékenységi indikátorok és </w:t>
      </w:r>
      <w:r w:rsidR="00B719AF" w:rsidRPr="00DE357F">
        <w:t>térképek</w:t>
      </w:r>
      <w:r w:rsidRPr="00DE357F">
        <w:t xml:space="preserve"> </w:t>
      </w:r>
      <w:r w:rsidR="00B719AF" w:rsidRPr="00592227">
        <w:t xml:space="preserve">a </w:t>
      </w:r>
      <w:r w:rsidR="00B719AF" w:rsidRPr="00DE357F">
        <w:t>földgázhálózat vizsgált felszíni létesítményeinek</w:t>
      </w:r>
      <w:r w:rsidRPr="00DE357F">
        <w:t xml:space="preserve"> vonatkozásában. Ennek besorolását az alábbi 4 tematikus térkép tartalmazza</w:t>
      </w:r>
      <w:r w:rsidR="00B719AF" w:rsidRPr="00DE357F">
        <w:t xml:space="preserve"> (14. ábra)</w:t>
      </w:r>
      <w:r w:rsidRPr="00DE357F">
        <w:t>. A komplex sérülékenység számításához szükséges képletet a módszertani tanulmány tartalmazza, ám a számítások elvégzése és a számított adatok áttekintése után tudtuk csak létrehozni a háromosztatú úgynevezett jelzőlámpa besorolást (elsősorban az elemszám eloszlását figyelembe véve), amelynek kategóriái: 0-10 pont várhatóan kevéssé sérülékeny, 11-20 pont közt közepesen sérülékeny, 21 pont felett erősen sérülékeny.</w:t>
      </w:r>
      <w:r w:rsidR="00CE5308" w:rsidRPr="00DE357F">
        <w:t xml:space="preserve"> Ennek lehet jelentősége a partnerek összetett tervezési folyamataiban.</w:t>
      </w:r>
    </w:p>
    <w:p w14:paraId="43D6B763" w14:textId="77777777" w:rsidR="00CD4595" w:rsidRPr="00DE357F" w:rsidRDefault="00CD4595" w:rsidP="00CD4595">
      <w:r w:rsidRPr="00DE357F">
        <w:t xml:space="preserve">Az éghajlati modellezések változó paramétereit figyelembe véve megállapítható, hogy középtávon (2021-2050) az optimista forgatókönyv (RCP 4.5) alapján a nagynyomású földgázrendszer felszíni létesítményei várhatóan kevéssé vagy közepesen sérülékenyek lesznek. A kompresszorállomások </w:t>
      </w:r>
      <w:r w:rsidR="00CE5308" w:rsidRPr="00DE357F">
        <w:t xml:space="preserve">mindegyik kevéssé sérülékeny kategóriába esik. </w:t>
      </w:r>
      <w:r w:rsidRPr="00DE357F">
        <w:t xml:space="preserve">A középtávú pesszimista forgatókönyv (RCP 8.5) előrejelzése alapján </w:t>
      </w:r>
      <w:r w:rsidR="00CE5308" w:rsidRPr="00DE357F">
        <w:t>a különbség nem nő jelentősen, várhatóan nem lesz nagyobb számú közepesen sérülékeny létesítmény</w:t>
      </w:r>
      <w:r w:rsidRPr="00DE357F">
        <w:t>.</w:t>
      </w:r>
    </w:p>
    <w:p w14:paraId="5BBAD7CF" w14:textId="77777777" w:rsidR="00CD4595" w:rsidRPr="00333492" w:rsidRDefault="00CD4595" w:rsidP="00CD4595">
      <w:pPr>
        <w:rPr>
          <w:spacing w:val="-2"/>
        </w:rPr>
      </w:pPr>
      <w:r w:rsidRPr="00333492">
        <w:rPr>
          <w:spacing w:val="-2"/>
        </w:rPr>
        <w:t>A hosszú</w:t>
      </w:r>
      <w:r w:rsidR="003F60A3" w:rsidRPr="00333492">
        <w:rPr>
          <w:spacing w:val="-2"/>
        </w:rPr>
        <w:t xml:space="preserve"> </w:t>
      </w:r>
      <w:r w:rsidRPr="00333492">
        <w:rPr>
          <w:spacing w:val="-2"/>
        </w:rPr>
        <w:t xml:space="preserve">távú (2071-2100) előrejelzések már </w:t>
      </w:r>
      <w:r w:rsidR="00CE5308" w:rsidRPr="00333492">
        <w:rPr>
          <w:spacing w:val="-2"/>
        </w:rPr>
        <w:t>jelentős</w:t>
      </w:r>
      <w:r w:rsidRPr="00333492">
        <w:rPr>
          <w:spacing w:val="-2"/>
        </w:rPr>
        <w:t xml:space="preserve"> változásokat vetítenek előre </w:t>
      </w:r>
      <w:r w:rsidR="00CE5308" w:rsidRPr="00333492">
        <w:rPr>
          <w:spacing w:val="-2"/>
        </w:rPr>
        <w:t>különösen</w:t>
      </w:r>
      <w:r w:rsidRPr="00333492">
        <w:rPr>
          <w:spacing w:val="-2"/>
        </w:rPr>
        <w:t xml:space="preserve"> a pesszimista éghajlati forgatókönyv (RCP 8.5) alapján.</w:t>
      </w:r>
      <w:r w:rsidR="00CE5308" w:rsidRPr="00333492">
        <w:rPr>
          <w:spacing w:val="-2"/>
        </w:rPr>
        <w:t xml:space="preserve"> Az optimista forgatókönyv (RCP 4.5) alapján</w:t>
      </w:r>
      <w:r w:rsidRPr="00333492">
        <w:rPr>
          <w:spacing w:val="-2"/>
        </w:rPr>
        <w:t xml:space="preserve"> </w:t>
      </w:r>
      <w:r w:rsidR="00CE5308" w:rsidRPr="00333492">
        <w:rPr>
          <w:spacing w:val="-2"/>
        </w:rPr>
        <w:t>jelen</w:t>
      </w:r>
      <w:r w:rsidR="00B719AF" w:rsidRPr="00333492">
        <w:rPr>
          <w:spacing w:val="-2"/>
        </w:rPr>
        <w:t>t</w:t>
      </w:r>
      <w:r w:rsidR="00CE5308" w:rsidRPr="00333492">
        <w:rPr>
          <w:spacing w:val="-2"/>
        </w:rPr>
        <w:t>ősen megnő a közepesen sérülékeny csomópontok és gázátadók száma. Az erősen sérülékeny kategória nagyobb számban Somogy, Zala, Veszprém vármegyékben</w:t>
      </w:r>
      <w:r w:rsidR="00B719AF" w:rsidRPr="00333492">
        <w:rPr>
          <w:spacing w:val="-2"/>
        </w:rPr>
        <w:t>,</w:t>
      </w:r>
      <w:r w:rsidR="00CE5308" w:rsidRPr="00333492">
        <w:rPr>
          <w:spacing w:val="-2"/>
        </w:rPr>
        <w:t xml:space="preserve"> a Balaton tágabb</w:t>
      </w:r>
      <w:r w:rsidR="00B719AF" w:rsidRPr="00333492">
        <w:rPr>
          <w:spacing w:val="-2"/>
        </w:rPr>
        <w:t>, nyugati</w:t>
      </w:r>
      <w:r w:rsidR="00CE5308" w:rsidRPr="00333492">
        <w:rPr>
          <w:spacing w:val="-2"/>
        </w:rPr>
        <w:t xml:space="preserve"> térségében félkörívben jelen</w:t>
      </w:r>
      <w:r w:rsidR="00B719AF" w:rsidRPr="00333492">
        <w:rPr>
          <w:spacing w:val="-2"/>
        </w:rPr>
        <w:t>n</w:t>
      </w:r>
      <w:r w:rsidR="00CE5308" w:rsidRPr="00333492">
        <w:rPr>
          <w:spacing w:val="-2"/>
        </w:rPr>
        <w:t xml:space="preserve">ek meg. Az alacsony sérülékenységű létesítmények térbeli koncentrálódása összefüggésben az éghajlati és földtani kitettség előrejelzéseivel Észak-Magyarországon, Budapest térségében </w:t>
      </w:r>
      <w:r w:rsidR="00B719AF" w:rsidRPr="00333492">
        <w:rPr>
          <w:spacing w:val="-2"/>
        </w:rPr>
        <w:t>és az Észak-Dunántúlon jellemző.</w:t>
      </w:r>
    </w:p>
    <w:p w14:paraId="4EB941E3" w14:textId="77777777" w:rsidR="00B719AF" w:rsidRPr="00DE357F" w:rsidRDefault="00B719AF" w:rsidP="00CD4595">
      <w:r w:rsidRPr="00DE357F">
        <w:lastRenderedPageBreak/>
        <w:t>A pesszimista forgatókönyv (RCP 8.5) hosszú</w:t>
      </w:r>
      <w:r w:rsidR="003F60A3" w:rsidRPr="00DE357F">
        <w:t xml:space="preserve"> </w:t>
      </w:r>
      <w:r w:rsidRPr="00DE357F">
        <w:t>távú előrejelzése drasztikus és romló képet m</w:t>
      </w:r>
      <w:r w:rsidR="003F60A3" w:rsidRPr="00DE357F">
        <w:t>utat. Nagy számban nő az optimi</w:t>
      </w:r>
      <w:r w:rsidRPr="00DE357F">
        <w:t>s</w:t>
      </w:r>
      <w:r w:rsidR="003F60A3" w:rsidRPr="00DE357F">
        <w:t>ta</w:t>
      </w:r>
      <w:r w:rsidRPr="00DE357F">
        <w:t xml:space="preserve"> forgatókönyvhöz képest az erősen sérülékeny kategóriába tartozó létesítmények száma Somogy, Zala, Veszprém vármegyék mellett szinte a teljes Észak- és Dél-Alföldön. Budapest térségének koncentrált létesítményei közepesen sérülékeny kategóriába kerülhetnek. Kevéssé sérülékeny kategóriában maradhatnak a kompresszorállomások és az Északi-középhegység, Sajó-völgy létesítményeinek nagyobb része.</w:t>
      </w:r>
    </w:p>
    <w:p w14:paraId="34B3F2EB" w14:textId="77777777" w:rsidR="00B719AF" w:rsidRPr="00DE357F" w:rsidRDefault="00B719AF" w:rsidP="00CD4595"/>
    <w:p w14:paraId="1D7B270A" w14:textId="77777777" w:rsidR="00A21A0B" w:rsidRPr="00592227" w:rsidRDefault="00A21A0B" w:rsidP="00A21A0B">
      <w:pPr>
        <w:ind w:firstLine="0"/>
      </w:pPr>
      <w:r w:rsidRPr="00592227">
        <w:rPr>
          <w:noProof/>
          <w:lang w:eastAsia="hu-HU"/>
          <w14:ligatures w14:val="none"/>
        </w:rPr>
        <w:drawing>
          <wp:inline distT="0" distB="0" distL="0" distR="0" wp14:anchorId="011757FB" wp14:editId="7796DCBF">
            <wp:extent cx="5760720" cy="355028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z_rendszerelemek_serul_fekvo_23082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550285"/>
                    </a:xfrm>
                    <a:prstGeom prst="rect">
                      <a:avLst/>
                    </a:prstGeom>
                  </pic:spPr>
                </pic:pic>
              </a:graphicData>
            </a:graphic>
          </wp:inline>
        </w:drawing>
      </w:r>
    </w:p>
    <w:p w14:paraId="4CC021FF" w14:textId="77777777" w:rsidR="00EB300D" w:rsidRPr="00592227" w:rsidRDefault="00BF16AA" w:rsidP="003C305A">
      <w:pPr>
        <w:ind w:firstLine="0"/>
        <w:jc w:val="center"/>
      </w:pPr>
      <w:r w:rsidRPr="00592227">
        <w:rPr>
          <w:b/>
          <w:i/>
        </w:rPr>
        <w:t>14.</w:t>
      </w:r>
      <w:r w:rsidR="00C27711" w:rsidRPr="00592227">
        <w:rPr>
          <w:b/>
          <w:i/>
        </w:rPr>
        <w:t xml:space="preserve"> </w:t>
      </w:r>
      <w:r w:rsidRPr="00592227">
        <w:rPr>
          <w:b/>
          <w:i/>
        </w:rPr>
        <w:t>ábra</w:t>
      </w:r>
      <w:r w:rsidR="00C27711" w:rsidRPr="00592227">
        <w:t xml:space="preserve"> </w:t>
      </w:r>
      <w:r w:rsidR="00C27711" w:rsidRPr="00592227">
        <w:rPr>
          <w:i/>
          <w:sz w:val="22"/>
          <w:szCs w:val="22"/>
        </w:rPr>
        <w:t>A földgázházhálózat vizsgált felszíni létesítményeinek éghajlati és földtani sérülékenységre vonatkozó besorolása a komplex indikátorok alapján</w:t>
      </w:r>
    </w:p>
    <w:p w14:paraId="4F904CB7" w14:textId="77777777" w:rsidR="001621FD" w:rsidRPr="00592227" w:rsidRDefault="001621FD" w:rsidP="00EB300D">
      <w:pPr>
        <w:pStyle w:val="TJ3"/>
        <w:ind w:left="0"/>
      </w:pPr>
      <w:r w:rsidRPr="00592227">
        <w:br w:type="page"/>
      </w:r>
    </w:p>
    <w:p w14:paraId="1285FC9D" w14:textId="77777777" w:rsidR="00EB300D" w:rsidRPr="00592227" w:rsidRDefault="003F4791" w:rsidP="006D5975">
      <w:pPr>
        <w:pStyle w:val="Cmsor1"/>
      </w:pPr>
      <w:bookmarkStart w:id="19" w:name="_Toc147484201"/>
      <w:r w:rsidRPr="00592227">
        <w:lastRenderedPageBreak/>
        <w:t>8</w:t>
      </w:r>
      <w:r w:rsidR="00EB300D" w:rsidRPr="00592227">
        <w:t>. A nagynyomású földgázvezeték-rendszert érintő várható éghajlati és földtani hatások</w:t>
      </w:r>
      <w:bookmarkEnd w:id="19"/>
    </w:p>
    <w:p w14:paraId="4E36D422" w14:textId="65FA0C43" w:rsidR="00BF3BF7" w:rsidRPr="00DE357F" w:rsidRDefault="00BF3BF7" w:rsidP="00DE357F">
      <w:r w:rsidRPr="00DE357F">
        <w:t>Az FGSZ által üzemeltetett és fejlesztett hazai nagynyomású földgázvezeték-rendszer, mint felszín alatti rendszer éghajlati és földtani sérülékenységének vizsgálatát és térképezését a CIVAS modell logikai keretében végeztük el. Mindösszesen 276 vezetékszakaszt vontunk be a vizsgálatba</w:t>
      </w:r>
      <w:r w:rsidR="009C524F" w:rsidRPr="00DE357F">
        <w:footnoteReference w:id="6"/>
      </w:r>
      <w:r w:rsidRPr="00DE357F">
        <w:t>. A fő eredményeket az alábbiakban foglaljuk össze.</w:t>
      </w:r>
      <w:r w:rsidR="009C524F" w:rsidRPr="00DE357F">
        <w:footnoteReference w:id="7"/>
      </w:r>
    </w:p>
    <w:p w14:paraId="06971CD3" w14:textId="77777777" w:rsidR="00BF3BF7" w:rsidRPr="00592227" w:rsidRDefault="00BF3BF7" w:rsidP="00DE357F"/>
    <w:p w14:paraId="1FA0C08B" w14:textId="77777777" w:rsidR="001754C9" w:rsidRPr="00592227" w:rsidRDefault="00BF3BF7" w:rsidP="006D5975">
      <w:pPr>
        <w:pStyle w:val="Cmsor2"/>
        <w:rPr>
          <w:noProof/>
        </w:rPr>
      </w:pPr>
      <w:bookmarkStart w:id="20" w:name="_Toc147484202"/>
      <w:r w:rsidRPr="00592227">
        <w:rPr>
          <w:noProof/>
        </w:rPr>
        <w:t>8.1. Az indikátorok kialakítása és a hatáslánc</w:t>
      </w:r>
      <w:bookmarkEnd w:id="20"/>
    </w:p>
    <w:p w14:paraId="67BC0E75" w14:textId="77777777" w:rsidR="0011518A" w:rsidRPr="00DE357F" w:rsidRDefault="0011518A" w:rsidP="0011518A">
      <w:r w:rsidRPr="00DE357F">
        <w:t xml:space="preserve">A vizsgálati logika kerete, fő mutatói és hatáslánca, köszönhetően a szakmai partnereknek, több körben került kialakításra, súlyozásra, és hozzá megfelelő mennyiségű érzékenységi adat is rendelkezésre állt egy várható hatásokat bemutató hatáslánc (kitettség és érzékenységi indikátorok képzésével együtt). </w:t>
      </w:r>
    </w:p>
    <w:p w14:paraId="1F132C3B" w14:textId="77777777" w:rsidR="0011518A" w:rsidRPr="00592227" w:rsidRDefault="0011518A" w:rsidP="0011518A">
      <w:r w:rsidRPr="00DE357F">
        <w:t xml:space="preserve">A hatáslánc az éghajlati és földtani hatásoknak sokrétűen kitett, nagynyomású földgázvezeték-rendszer vezetékszakaszaira került kialakításra figyelembe véve az éghajlati és földtani kitettségi </w:t>
      </w:r>
      <w:proofErr w:type="gramStart"/>
      <w:r w:rsidRPr="00DE357F">
        <w:t>jellemzőket</w:t>
      </w:r>
      <w:proofErr w:type="gramEnd"/>
      <w:r w:rsidRPr="00DE357F">
        <w:t xml:space="preserve"> valamint megvizsgálva több érzékenységi alapadatot. Az éghajlati indikátorok két, közép- (2021-2050) és hosszú időtávú (2071-2100) modellszimuláció két-két forgatókönyvére (4.5 optimista, 8.5 pesszimista) készültek el (lásd bővebben a 6.1. fejezetben</w:t>
      </w:r>
      <w:r w:rsidR="00943420" w:rsidRPr="00DE357F">
        <w:t>)</w:t>
      </w:r>
      <w:r w:rsidRPr="00DE357F">
        <w:t>. Az indikátorokat a nemzetközi szakirodalom korábbi cikkeit is figyelembe véve, majd az FGSZ szakembereivel konzultálva, azok együttműködésével közösen választottuk ki és súlyoztuk, majd egy komplex (dimenzió nélküli) mutatószám került kialakításra valamennyi éghajlati indikátort felhasználva.</w:t>
      </w:r>
    </w:p>
    <w:p w14:paraId="11DB8B18" w14:textId="77777777" w:rsidR="00BF3BF7" w:rsidRPr="00592227" w:rsidRDefault="0011518A" w:rsidP="00231C40">
      <w:r w:rsidRPr="00592227">
        <w:t>A</w:t>
      </w:r>
      <w:r w:rsidR="00BF3BF7" w:rsidRPr="00592227">
        <w:t xml:space="preserve"> nagynyomású földgázvezetékek állapotára várhatóan</w:t>
      </w:r>
      <w:r w:rsidR="003D6828" w:rsidRPr="00592227">
        <w:t xml:space="preserve"> legnagyobb hatással bíró egyazon </w:t>
      </w:r>
      <w:r w:rsidR="00BF3BF7" w:rsidRPr="00592227">
        <w:t>égha</w:t>
      </w:r>
      <w:r w:rsidR="003D6828" w:rsidRPr="00592227">
        <w:t xml:space="preserve">jlati indikátorokat </w:t>
      </w:r>
      <w:r w:rsidR="00231C40" w:rsidRPr="00592227">
        <w:t xml:space="preserve">(nagy csapadékok, erdőtűzveszély) </w:t>
      </w:r>
      <w:r w:rsidR="003D6828" w:rsidRPr="00592227">
        <w:t>választottu</w:t>
      </w:r>
      <w:r w:rsidR="00BF3BF7" w:rsidRPr="00592227">
        <w:t>k ki,</w:t>
      </w:r>
      <w:r w:rsidR="003D6828" w:rsidRPr="00592227">
        <w:t xml:space="preserve"> mint a felszíni létesítmények esetében.</w:t>
      </w:r>
      <w:r w:rsidR="00BF3BF7" w:rsidRPr="00592227">
        <w:t xml:space="preserve"> </w:t>
      </w:r>
    </w:p>
    <w:p w14:paraId="3870C83C" w14:textId="77777777" w:rsidR="00027FED" w:rsidRPr="00DE357F" w:rsidRDefault="00027FED" w:rsidP="00027FED">
      <w:r w:rsidRPr="00DE357F">
        <w:t>A kialakított, egységesen használt földtani 10 mutatócsoportot és a kitettségi indikátorokat (köztük egy komplex összefoglaló pontozásos mutatót) a 6.2 alfejezetben mutattuk be részletesen.</w:t>
      </w:r>
    </w:p>
    <w:p w14:paraId="63B2FAC9" w14:textId="77777777" w:rsidR="00027FED" w:rsidRPr="00DE357F" w:rsidRDefault="00027FED" w:rsidP="00027FED">
      <w:r w:rsidRPr="00DE357F">
        <w:t>A felhasznált érzékenységi alapadatok (például üzemeltetési kockázat komplex mutatója) az FGSZ rendszeres, saját adatgyűjtéséből, mutatóképzéséből származnak, ott folyamatosan frissítve rendelkezésre állnak. Ugyanakkor 2024-től az FGSZ új, összetett kockázati értékelési rendszert vezet be, így jelen indikátorok példaként tájékoztatásra, a területi különbségek érzékeltetésre alkalmasak elsősorban. Alkalmazkodóképességi jellemzőket és mutatókat erre az energetikai rendszerre végül nem képeztünk tekintve, hogy nem állt rendelkezésre olyan alapadat, amely a sokrétűen monitorozott, bizotnságosan karbantartott és fejlesztett rendszerre és elemeire jövőbeli vonatkozásban területi különbséget mutatott volna.</w:t>
      </w:r>
    </w:p>
    <w:p w14:paraId="2A1F701D" w14:textId="75638D9F" w:rsidR="00330073" w:rsidRDefault="0064609D" w:rsidP="00DE357F">
      <w:r w:rsidRPr="00DE357F">
        <w:t xml:space="preserve">A kialakított hatáslánc alább látható. Véleményünk szerint jó alap lehet az elosztói engedélyesek hálózatainak hasonló hatásoldali jellemzéséhez és értékeléséhez is. </w:t>
      </w:r>
      <w:r w:rsidR="00CE09E8" w:rsidRPr="00DE357F">
        <w:t>E</w:t>
      </w:r>
      <w:r w:rsidRPr="00DE357F">
        <w:t xml:space="preserve">z </w:t>
      </w:r>
      <w:r w:rsidR="00CE09E8" w:rsidRPr="00DE357F">
        <w:t xml:space="preserve">megfelelően </w:t>
      </w:r>
      <w:r w:rsidRPr="00DE357F">
        <w:t xml:space="preserve">akkor működhet amennyiben hasonló és egységesíthető adatgyűjtés és mutatóképzés az elosztói hálózatok esetében is történik, és a kapott adatokból kitettségi-, érzékenységi és egyéb indikátorok képezhetőek. </w:t>
      </w:r>
    </w:p>
    <w:p w14:paraId="4994FA8E" w14:textId="77777777" w:rsidR="00DE357F" w:rsidRPr="00592227" w:rsidRDefault="00DE357F" w:rsidP="00DE357F"/>
    <w:p w14:paraId="03EFCA41" w14:textId="77777777" w:rsidR="00330073" w:rsidRPr="00592227" w:rsidRDefault="00330073" w:rsidP="003C305A">
      <w:pPr>
        <w:keepNext/>
        <w:ind w:firstLine="0"/>
        <w:jc w:val="center"/>
      </w:pPr>
      <w:r w:rsidRPr="00592227">
        <w:rPr>
          <w:noProof/>
          <w:lang w:eastAsia="hu-HU"/>
        </w:rPr>
        <w:lastRenderedPageBreak/>
        <w:drawing>
          <wp:inline distT="0" distB="0" distL="0" distR="0" wp14:anchorId="719F7DCD" wp14:editId="0EAA14F1">
            <wp:extent cx="4575600" cy="3430800"/>
            <wp:effectExtent l="0" t="0" r="0" b="0"/>
            <wp:docPr id="26" name="Kép 26" descr="A képen szöveg, képernyőkép, Betűtípus,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szöveg, képernyőkép, Betűtípus, sor látható&#10;&#10;Automatikusan generált leírás"/>
                    <pic:cNvPicPr/>
                  </pic:nvPicPr>
                  <pic:blipFill>
                    <a:blip r:embed="rId32">
                      <a:extLst>
                        <a:ext uri="{28A0092B-C50C-407E-A947-70E740481C1C}">
                          <a14:useLocalDpi xmlns:a14="http://schemas.microsoft.com/office/drawing/2010/main" val="0"/>
                        </a:ext>
                      </a:extLst>
                    </a:blip>
                    <a:stretch>
                      <a:fillRect/>
                    </a:stretch>
                  </pic:blipFill>
                  <pic:spPr>
                    <a:xfrm>
                      <a:off x="0" y="0"/>
                      <a:ext cx="4575600" cy="3430800"/>
                    </a:xfrm>
                    <a:prstGeom prst="rect">
                      <a:avLst/>
                    </a:prstGeom>
                  </pic:spPr>
                </pic:pic>
              </a:graphicData>
            </a:graphic>
          </wp:inline>
        </w:drawing>
      </w:r>
    </w:p>
    <w:p w14:paraId="2803850D" w14:textId="77777777" w:rsidR="00330073" w:rsidRPr="00592227" w:rsidRDefault="00BF16AA" w:rsidP="00330073">
      <w:pPr>
        <w:pStyle w:val="Kpalrs"/>
      </w:pPr>
      <w:r w:rsidRPr="00592227">
        <w:rPr>
          <w:b/>
        </w:rPr>
        <w:t>15.</w:t>
      </w:r>
      <w:r w:rsidR="00330073" w:rsidRPr="00592227">
        <w:rPr>
          <w:b/>
        </w:rPr>
        <w:t xml:space="preserve"> ábra</w:t>
      </w:r>
      <w:r w:rsidR="00330073" w:rsidRPr="00592227">
        <w:t xml:space="preserve"> A nagynyomású földgázvezeték-rendszerre gyakorolt </w:t>
      </w:r>
      <w:r w:rsidR="007B6DA6" w:rsidRPr="00592227">
        <w:t xml:space="preserve">éghajlati és földtani </w:t>
      </w:r>
      <w:r w:rsidR="00330073" w:rsidRPr="00592227">
        <w:t>hatások – hatáslánc</w:t>
      </w:r>
    </w:p>
    <w:p w14:paraId="5F96A722" w14:textId="77777777" w:rsidR="00330073" w:rsidRPr="00592227" w:rsidRDefault="00330073" w:rsidP="00330073"/>
    <w:p w14:paraId="3BD2380A" w14:textId="77777777" w:rsidR="00EB300D" w:rsidRPr="00592227" w:rsidRDefault="003F4791" w:rsidP="006D5975">
      <w:pPr>
        <w:pStyle w:val="Cmsor2"/>
        <w:rPr>
          <w:noProof/>
        </w:rPr>
      </w:pPr>
      <w:bookmarkStart w:id="21" w:name="_Toc147484203"/>
      <w:r w:rsidRPr="00592227">
        <w:rPr>
          <w:noProof/>
        </w:rPr>
        <w:t>8.2</w:t>
      </w:r>
      <w:r w:rsidR="00EB300D" w:rsidRPr="00592227">
        <w:rPr>
          <w:noProof/>
        </w:rPr>
        <w:t xml:space="preserve">. </w:t>
      </w:r>
      <w:r w:rsidR="004939EC" w:rsidRPr="00592227">
        <w:rPr>
          <w:noProof/>
        </w:rPr>
        <w:t>A nagynyomású földgázhálózat vezetékszakaszainak kitettségi jellemzői</w:t>
      </w:r>
      <w:bookmarkEnd w:id="21"/>
    </w:p>
    <w:p w14:paraId="619E084F" w14:textId="77777777" w:rsidR="00244167" w:rsidRPr="00DE357F" w:rsidRDefault="00244167" w:rsidP="00244167">
      <w:r w:rsidRPr="00DE357F">
        <w:t xml:space="preserve">A </w:t>
      </w:r>
      <w:proofErr w:type="spellStart"/>
      <w:r w:rsidRPr="00DE357F">
        <w:t>nagynyomásű</w:t>
      </w:r>
      <w:proofErr w:type="spellEnd"/>
      <w:r w:rsidRPr="00DE357F">
        <w:t xml:space="preserve"> földgázhálózat éghajlati kitettségének jövőbeli változása a középtávú (2021-2050) és hosszútávú (2071-2100) valamint optimista (RCP 4.5) és pesszimista (RCP 8.5) forgatókönyvek esetén várhatóan erősen eltérő lesz. A komplex, 3 kiválasztott, eltérően súlyozott indikátor jellemzőit együttesen mutató éghajlati kitettségi indikátor és háromosztatú jelzőlámpa kategorizálása alapján a következők állapíthatóak meg:  </w:t>
      </w:r>
    </w:p>
    <w:p w14:paraId="1B39D916" w14:textId="77777777" w:rsidR="00244167" w:rsidRPr="006D5975" w:rsidRDefault="00244167" w:rsidP="006D5975">
      <w:pPr>
        <w:pStyle w:val="Listaszerbekezds"/>
        <w:numPr>
          <w:ilvl w:val="0"/>
          <w:numId w:val="24"/>
        </w:numPr>
        <w:rPr>
          <w:szCs w:val="24"/>
        </w:rPr>
      </w:pPr>
      <w:r w:rsidRPr="006D5975">
        <w:rPr>
          <w:szCs w:val="24"/>
        </w:rPr>
        <w:t>Középtávon az optimista forgatókönyv (RCP 4.5) és a pesszimista forgatókönyv (RCP 8.5) alapján is a hálózat vezetékszakaszainak döntő többsége a kevéssé kitett kategóriába tartozik majd. Kivételt néhány dél-dunántúli és dél-alföldi vezetékszakasz képez majd, amelyek közepes kitetts</w:t>
      </w:r>
      <w:r w:rsidR="00900574" w:rsidRPr="006D5975">
        <w:rPr>
          <w:szCs w:val="24"/>
        </w:rPr>
        <w:t>égűek lesznek várhatóan</w:t>
      </w:r>
      <w:r w:rsidRPr="006D5975">
        <w:rPr>
          <w:szCs w:val="24"/>
        </w:rPr>
        <w:t>.</w:t>
      </w:r>
    </w:p>
    <w:p w14:paraId="0C89980D" w14:textId="77777777" w:rsidR="00244167" w:rsidRPr="006D5975" w:rsidRDefault="00244167" w:rsidP="006D5975">
      <w:pPr>
        <w:pStyle w:val="Listaszerbekezds"/>
        <w:numPr>
          <w:ilvl w:val="0"/>
          <w:numId w:val="24"/>
        </w:numPr>
        <w:rPr>
          <w:szCs w:val="24"/>
        </w:rPr>
      </w:pPr>
      <w:r w:rsidRPr="006D5975">
        <w:rPr>
          <w:szCs w:val="24"/>
        </w:rPr>
        <w:t xml:space="preserve">A hosszútávú klimatológiai változásokat </w:t>
      </w:r>
      <w:r w:rsidR="00900574" w:rsidRPr="006D5975">
        <w:rPr>
          <w:szCs w:val="24"/>
        </w:rPr>
        <w:t xml:space="preserve">(2071-2100) </w:t>
      </w:r>
      <w:r w:rsidRPr="006D5975">
        <w:rPr>
          <w:szCs w:val="24"/>
        </w:rPr>
        <w:t xml:space="preserve">megjelenítő modellek esetén az optimista forgatókönyv (RCP 4.5) </w:t>
      </w:r>
      <w:r w:rsidR="00900574" w:rsidRPr="006D5975">
        <w:rPr>
          <w:szCs w:val="24"/>
        </w:rPr>
        <w:t>szerint a nagynyomású földgáz</w:t>
      </w:r>
      <w:r w:rsidRPr="006D5975">
        <w:rPr>
          <w:szCs w:val="24"/>
        </w:rPr>
        <w:t xml:space="preserve">hálózat vezetékszakaszainak </w:t>
      </w:r>
      <w:r w:rsidR="00900574" w:rsidRPr="006D5975">
        <w:rPr>
          <w:szCs w:val="24"/>
        </w:rPr>
        <w:t>egy része a</w:t>
      </w:r>
      <w:r w:rsidRPr="006D5975">
        <w:rPr>
          <w:szCs w:val="24"/>
        </w:rPr>
        <w:t xml:space="preserve"> közepesen kitett kategóriába esik majd valószínűleg. </w:t>
      </w:r>
      <w:r w:rsidR="00900574" w:rsidRPr="006D5975">
        <w:rPr>
          <w:szCs w:val="24"/>
        </w:rPr>
        <w:t xml:space="preserve">Ennek példái a Balaton, a Dél-Dunántúl és </w:t>
      </w:r>
      <w:proofErr w:type="gramStart"/>
      <w:r w:rsidR="00900574" w:rsidRPr="006D5975">
        <w:rPr>
          <w:szCs w:val="24"/>
        </w:rPr>
        <w:t>a</w:t>
      </w:r>
      <w:proofErr w:type="gramEnd"/>
      <w:r w:rsidR="00900574" w:rsidRPr="006D5975">
        <w:rPr>
          <w:szCs w:val="24"/>
        </w:rPr>
        <w:t xml:space="preserve"> az Alföld egyes térségei és vezetékszakaszai. </w:t>
      </w:r>
      <w:r w:rsidRPr="006D5975">
        <w:rPr>
          <w:szCs w:val="24"/>
        </w:rPr>
        <w:t xml:space="preserve">Erősen kitett vezetékszakasz ez esetben sem jelezhető előre. </w:t>
      </w:r>
    </w:p>
    <w:p w14:paraId="70768968" w14:textId="77777777" w:rsidR="00244167" w:rsidRPr="006D5975" w:rsidRDefault="00244167" w:rsidP="006D5975">
      <w:pPr>
        <w:pStyle w:val="Listaszerbekezds"/>
        <w:numPr>
          <w:ilvl w:val="0"/>
          <w:numId w:val="24"/>
        </w:numPr>
        <w:rPr>
          <w:szCs w:val="24"/>
        </w:rPr>
      </w:pPr>
      <w:r w:rsidRPr="006D5975">
        <w:rPr>
          <w:szCs w:val="24"/>
        </w:rPr>
        <w:t xml:space="preserve">A pesszimista forgatókönyv </w:t>
      </w:r>
      <w:r w:rsidR="004C2AE9" w:rsidRPr="006D5975">
        <w:rPr>
          <w:szCs w:val="24"/>
        </w:rPr>
        <w:t xml:space="preserve">(RCP 8.5) </w:t>
      </w:r>
      <w:r w:rsidRPr="006D5975">
        <w:rPr>
          <w:szCs w:val="24"/>
        </w:rPr>
        <w:t>hosszútávú előremodellezése alapján viszont kijelenthető, hogy számos vezetékszakasz a közep</w:t>
      </w:r>
      <w:r w:rsidR="00900574" w:rsidRPr="006D5975">
        <w:rPr>
          <w:szCs w:val="24"/>
        </w:rPr>
        <w:t>esen kitett kategóriába kerül várhatóan</w:t>
      </w:r>
      <w:r w:rsidRPr="006D5975">
        <w:rPr>
          <w:szCs w:val="24"/>
        </w:rPr>
        <w:t>, de jelentős számú szakasz az erősen kitett kategóriába kerül várhatóan például a Dél-Dunántúlon</w:t>
      </w:r>
      <w:r w:rsidR="00900574" w:rsidRPr="006D5975">
        <w:rPr>
          <w:szCs w:val="24"/>
        </w:rPr>
        <w:t xml:space="preserve"> (például Kaposvár, Nagykanizsa, Nagylengyel térsége)</w:t>
      </w:r>
      <w:r w:rsidRPr="006D5975">
        <w:rPr>
          <w:szCs w:val="24"/>
        </w:rPr>
        <w:t xml:space="preserve">, </w:t>
      </w:r>
      <w:r w:rsidR="00900574" w:rsidRPr="006D5975">
        <w:rPr>
          <w:szCs w:val="24"/>
        </w:rPr>
        <w:t>és a Dél-Alföldön (például Algyő, Kardoskút, Makó térsége)</w:t>
      </w:r>
      <w:r w:rsidRPr="006D5975">
        <w:rPr>
          <w:szCs w:val="24"/>
        </w:rPr>
        <w:t>. Kevé</w:t>
      </w:r>
      <w:r w:rsidR="00900574" w:rsidRPr="006D5975">
        <w:rPr>
          <w:szCs w:val="24"/>
        </w:rPr>
        <w:t>ssé kitett kategória csak néhány esetben</w:t>
      </w:r>
      <w:r w:rsidRPr="006D5975">
        <w:rPr>
          <w:szCs w:val="24"/>
        </w:rPr>
        <w:t xml:space="preserve"> várható a számítások alapján. </w:t>
      </w:r>
    </w:p>
    <w:p w14:paraId="5220BBB2" w14:textId="77777777" w:rsidR="00244167" w:rsidRPr="00592227" w:rsidRDefault="00244167" w:rsidP="00244167"/>
    <w:p w14:paraId="13CB595B" w14:textId="77777777" w:rsidR="000D2C0A" w:rsidRPr="00592227" w:rsidRDefault="000D2C0A" w:rsidP="003C305A">
      <w:pPr>
        <w:ind w:firstLine="0"/>
        <w:jc w:val="center"/>
      </w:pPr>
      <w:r w:rsidRPr="00592227">
        <w:rPr>
          <w:noProof/>
          <w:lang w:eastAsia="hu-HU"/>
          <w14:ligatures w14:val="none"/>
        </w:rPr>
        <w:lastRenderedPageBreak/>
        <w:drawing>
          <wp:inline distT="0" distB="0" distL="0" distR="0" wp14:anchorId="2DF21195" wp14:editId="3A99452A">
            <wp:extent cx="5760720" cy="4570730"/>
            <wp:effectExtent l="0" t="0" r="0" b="127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z_nagynyomasu_egh_komplex_allo_23082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4570730"/>
                    </a:xfrm>
                    <a:prstGeom prst="rect">
                      <a:avLst/>
                    </a:prstGeom>
                  </pic:spPr>
                </pic:pic>
              </a:graphicData>
            </a:graphic>
          </wp:inline>
        </w:drawing>
      </w:r>
    </w:p>
    <w:p w14:paraId="1529D026" w14:textId="77777777" w:rsidR="001A3E94" w:rsidRPr="00592227" w:rsidRDefault="004D28E8" w:rsidP="003C305A">
      <w:pPr>
        <w:ind w:firstLine="0"/>
        <w:jc w:val="center"/>
        <w:rPr>
          <w:sz w:val="22"/>
          <w:szCs w:val="22"/>
        </w:rPr>
      </w:pPr>
      <w:r w:rsidRPr="00592227">
        <w:rPr>
          <w:b/>
          <w:i/>
          <w:sz w:val="22"/>
          <w:szCs w:val="22"/>
        </w:rPr>
        <w:t xml:space="preserve">16. </w:t>
      </w:r>
      <w:r w:rsidR="001A3E94" w:rsidRPr="00592227">
        <w:rPr>
          <w:b/>
          <w:i/>
          <w:sz w:val="22"/>
          <w:szCs w:val="22"/>
        </w:rPr>
        <w:t>ábra</w:t>
      </w:r>
      <w:r w:rsidR="001A3E94" w:rsidRPr="00592227">
        <w:rPr>
          <w:sz w:val="22"/>
          <w:szCs w:val="22"/>
        </w:rPr>
        <w:t xml:space="preserve"> </w:t>
      </w:r>
      <w:r w:rsidR="001A3E94" w:rsidRPr="00592227">
        <w:rPr>
          <w:i/>
          <w:sz w:val="22"/>
          <w:szCs w:val="22"/>
        </w:rPr>
        <w:t>A földgázhálózat vezetékszakaszainak várható éghajlati kitettségi besorolása közép- és hosszútávon az optimista és a pesszimista forgatókönyvek alapján</w:t>
      </w:r>
    </w:p>
    <w:p w14:paraId="6D9C8D39" w14:textId="77777777" w:rsidR="001A3E94" w:rsidRPr="00592227" w:rsidRDefault="001A3E94" w:rsidP="00DE357F"/>
    <w:p w14:paraId="6854BBA8" w14:textId="77777777" w:rsidR="004C4903" w:rsidRPr="00DE357F" w:rsidRDefault="004C4903" w:rsidP="00DE357F">
      <w:r w:rsidRPr="00DE357F">
        <w:t xml:space="preserve">A földgázhálózat vezetékszakaszainak jelenbeli földtani kitettsége viszonylag homogén képet mutat. A komplex, 10 sekélyföldtani mutató jellemzőit magába foglaló pontozás alapján a legtöbb vezetékszakasz a közepesen kitett kategóriába került. Kivételt a Dunántúli-középhegységen és az Északi-középhegységen keresztülhaladó és </w:t>
      </w:r>
      <w:r w:rsidR="00D32D4B" w:rsidRPr="00DE357F">
        <w:t>Budap</w:t>
      </w:r>
      <w:r w:rsidRPr="00DE357F">
        <w:t>est térségében található vezetékszakaszok jelentenek, amelyek például a kedvezőbb kőzetállékonysági</w:t>
      </w:r>
      <w:r w:rsidR="00D32D4B" w:rsidRPr="00DE357F">
        <w:t>, vízföldtani</w:t>
      </w:r>
      <w:r w:rsidRPr="00DE357F">
        <w:t xml:space="preserve"> besorolás</w:t>
      </w:r>
      <w:r w:rsidR="00D32D4B" w:rsidRPr="00DE357F">
        <w:t>ok</w:t>
      </w:r>
      <w:r w:rsidRPr="00DE357F">
        <w:t xml:space="preserve"> alapján a kevéssé kitett kategóriába kerültek (például: Ajka-Győr, Romhány-Balassagyarmat, Bátonyterenye-Salgótarján szakaszok.)  </w:t>
      </w:r>
    </w:p>
    <w:p w14:paraId="675E05EE" w14:textId="77777777" w:rsidR="004C4903" w:rsidRPr="00592227" w:rsidRDefault="004C4903" w:rsidP="00DE357F"/>
    <w:p w14:paraId="2FC17F8B" w14:textId="77777777" w:rsidR="000D2C0A" w:rsidRPr="00592227" w:rsidRDefault="000D2C0A" w:rsidP="003C305A">
      <w:pPr>
        <w:ind w:firstLine="0"/>
        <w:jc w:val="center"/>
      </w:pPr>
      <w:r w:rsidRPr="00592227">
        <w:rPr>
          <w:noProof/>
          <w:lang w:eastAsia="hu-HU"/>
          <w14:ligatures w14:val="none"/>
        </w:rPr>
        <w:lastRenderedPageBreak/>
        <w:drawing>
          <wp:inline distT="0" distB="0" distL="0" distR="0" wp14:anchorId="24FF3367" wp14:editId="6D63B368">
            <wp:extent cx="5018066" cy="324802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z_nagynyomasu_fdt_komplex_230082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20110" cy="3249348"/>
                    </a:xfrm>
                    <a:prstGeom prst="rect">
                      <a:avLst/>
                    </a:prstGeom>
                  </pic:spPr>
                </pic:pic>
              </a:graphicData>
            </a:graphic>
          </wp:inline>
        </w:drawing>
      </w:r>
    </w:p>
    <w:p w14:paraId="2D412C56" w14:textId="77777777" w:rsidR="004C4903" w:rsidRPr="00592227" w:rsidRDefault="004D28E8" w:rsidP="003C305A">
      <w:pPr>
        <w:ind w:firstLine="0"/>
        <w:jc w:val="center"/>
        <w:rPr>
          <w:i/>
          <w:sz w:val="22"/>
          <w:szCs w:val="22"/>
        </w:rPr>
      </w:pPr>
      <w:r w:rsidRPr="00592227">
        <w:rPr>
          <w:b/>
          <w:i/>
          <w:sz w:val="22"/>
          <w:szCs w:val="22"/>
        </w:rPr>
        <w:t>17</w:t>
      </w:r>
      <w:r w:rsidR="004939EC" w:rsidRPr="00592227">
        <w:rPr>
          <w:b/>
          <w:i/>
          <w:sz w:val="22"/>
          <w:szCs w:val="22"/>
        </w:rPr>
        <w:t>. ábra</w:t>
      </w:r>
      <w:r w:rsidR="004939EC" w:rsidRPr="00592227">
        <w:rPr>
          <w:i/>
          <w:sz w:val="22"/>
          <w:szCs w:val="22"/>
        </w:rPr>
        <w:t xml:space="preserve"> </w:t>
      </w:r>
      <w:r w:rsidR="004C4903" w:rsidRPr="00592227">
        <w:rPr>
          <w:i/>
          <w:sz w:val="22"/>
          <w:szCs w:val="22"/>
        </w:rPr>
        <w:t>A földgázhálózat vezetékszakaszainak földtani kitettségi besorolása a komplex földtani indikátor alapján</w:t>
      </w:r>
    </w:p>
    <w:p w14:paraId="0A4F7224" w14:textId="77777777" w:rsidR="004C4903" w:rsidRPr="00592227" w:rsidRDefault="004C4903" w:rsidP="003C305A"/>
    <w:p w14:paraId="1D7C47AA" w14:textId="77777777" w:rsidR="00EB300D" w:rsidRPr="00592227" w:rsidRDefault="003F4791" w:rsidP="006D5975">
      <w:pPr>
        <w:pStyle w:val="Cmsor2"/>
        <w:rPr>
          <w:noProof/>
        </w:rPr>
      </w:pPr>
      <w:bookmarkStart w:id="22" w:name="_Toc147484204"/>
      <w:r w:rsidRPr="00592227">
        <w:rPr>
          <w:noProof/>
        </w:rPr>
        <w:t>8.3</w:t>
      </w:r>
      <w:r w:rsidR="00EB300D" w:rsidRPr="00592227">
        <w:rPr>
          <w:noProof/>
        </w:rPr>
        <w:t xml:space="preserve">. </w:t>
      </w:r>
      <w:r w:rsidR="00160AAA" w:rsidRPr="00592227">
        <w:rPr>
          <w:noProof/>
        </w:rPr>
        <w:t xml:space="preserve">A nagynyomású földgázhálózat vezetékszakaszainak </w:t>
      </w:r>
      <w:r w:rsidR="004939EC" w:rsidRPr="00592227">
        <w:rPr>
          <w:noProof/>
        </w:rPr>
        <w:t>érzékenységi adottságai</w:t>
      </w:r>
      <w:bookmarkEnd w:id="22"/>
      <w:r w:rsidR="004939EC" w:rsidRPr="00592227">
        <w:rPr>
          <w:noProof/>
        </w:rPr>
        <w:t xml:space="preserve"> </w:t>
      </w:r>
    </w:p>
    <w:p w14:paraId="07721FDA" w14:textId="77777777" w:rsidR="004C4903" w:rsidRPr="00DE357F" w:rsidRDefault="00886E84" w:rsidP="004C4903">
      <w:r w:rsidRPr="00DE357F">
        <w:t>A</w:t>
      </w:r>
      <w:r w:rsidR="004C4903" w:rsidRPr="00DE357F">
        <w:t xml:space="preserve"> </w:t>
      </w:r>
      <w:r w:rsidRPr="00DE357F">
        <w:t>nagynyomású</w:t>
      </w:r>
      <w:r w:rsidR="00D85A43" w:rsidRPr="00DE357F">
        <w:t xml:space="preserve"> földgázhálózat </w:t>
      </w:r>
      <w:r w:rsidR="004C4903" w:rsidRPr="00DE357F">
        <w:t>vezetékszakaszainak ér</w:t>
      </w:r>
      <w:r w:rsidR="00D32D4B" w:rsidRPr="00DE357F">
        <w:t>zékenységi besorolását két</w:t>
      </w:r>
      <w:r w:rsidR="00D85A43" w:rsidRPr="00DE357F">
        <w:t xml:space="preserve"> eltérő</w:t>
      </w:r>
      <w:r w:rsidR="004C4903" w:rsidRPr="00DE357F">
        <w:t xml:space="preserve"> </w:t>
      </w:r>
      <w:r w:rsidR="00D85A43" w:rsidRPr="00DE357F">
        <w:t>(</w:t>
      </w:r>
      <w:r w:rsidR="004C4903" w:rsidRPr="00DE357F">
        <w:t>dimenzió nélküli</w:t>
      </w:r>
      <w:r w:rsidR="00D85A43" w:rsidRPr="00DE357F">
        <w:t>),</w:t>
      </w:r>
      <w:r w:rsidR="004C4903" w:rsidRPr="00DE357F">
        <w:t xml:space="preserve"> FGSZ</w:t>
      </w:r>
      <w:r w:rsidR="00D85A43" w:rsidRPr="00DE357F">
        <w:t xml:space="preserve"> által létrehozott</w:t>
      </w:r>
      <w:r w:rsidR="004C4903" w:rsidRPr="00DE357F">
        <w:t xml:space="preserve"> </w:t>
      </w:r>
      <w:r w:rsidR="00D85A43" w:rsidRPr="00DE357F">
        <w:t xml:space="preserve">komplex </w:t>
      </w:r>
      <w:r w:rsidR="004C4903" w:rsidRPr="00DE357F">
        <w:t xml:space="preserve">mutató (üzemeltetési és műszaki kockázati mutatók) pontozásos besorolása alapján hoztuk létre. Az öt-öt kategóriából álló két indikátor szorzatából létrejött összpontszám alapján képeztük </w:t>
      </w:r>
      <w:r w:rsidR="006224F9" w:rsidRPr="00DE357F">
        <w:t xml:space="preserve">a </w:t>
      </w:r>
      <w:r w:rsidR="004C4903" w:rsidRPr="00DE357F">
        <w:t>jelzőlámpa</w:t>
      </w:r>
      <w:r w:rsidR="006224F9" w:rsidRPr="00DE357F">
        <w:t xml:space="preserve"> mutató három kategóriáját figyelembe véve, hogy körülbelül azonos elemszám essen egy-egy kategóriába (0-9 pont kevéssé érzékeny, 10-14 pont közepesen érzékeny, 15-25 pont erősen érzékeny). </w:t>
      </w:r>
    </w:p>
    <w:p w14:paraId="1CA940EC" w14:textId="77777777" w:rsidR="006224F9" w:rsidRPr="00DE357F" w:rsidRDefault="006224F9" w:rsidP="004C4903">
      <w:r w:rsidRPr="00DE357F">
        <w:t>A kevésbé érzékeny és érzékeny kategóriába elsősorban a dunántúli és a Budapest térségi vezetékszakaszok estek. A fontosabb</w:t>
      </w:r>
      <w:r w:rsidR="001A3E94" w:rsidRPr="00DE357F">
        <w:t>, elsősorban alföldi</w:t>
      </w:r>
      <w:r w:rsidRPr="00DE357F">
        <w:t xml:space="preserve"> föld</w:t>
      </w:r>
      <w:r w:rsidR="001A3E94" w:rsidRPr="00DE357F">
        <w:t xml:space="preserve">gáztároló, </w:t>
      </w:r>
      <w:r w:rsidRPr="00DE357F">
        <w:t>kite</w:t>
      </w:r>
      <w:r w:rsidR="001A3E94" w:rsidRPr="00DE357F">
        <w:t>r</w:t>
      </w:r>
      <w:r w:rsidRPr="00DE357F">
        <w:t>melő</w:t>
      </w:r>
      <w:r w:rsidR="001A3E94" w:rsidRPr="00DE357F">
        <w:t xml:space="preserve"> és csomóponti</w:t>
      </w:r>
      <w:r w:rsidRPr="00DE357F">
        <w:t xml:space="preserve"> helyek</w:t>
      </w:r>
      <w:r w:rsidR="001A3E94" w:rsidRPr="00DE357F">
        <w:t xml:space="preserve"> térségében (például Algyő, Kardoskút, Kiskundorozsma, Városföld térségének több vezetékszakasza)</w:t>
      </w:r>
      <w:r w:rsidRPr="00DE357F">
        <w:t xml:space="preserve"> </w:t>
      </w:r>
      <w:r w:rsidR="001A3E94" w:rsidRPr="00DE357F">
        <w:t xml:space="preserve">találhatóak nagyobb érzékenységű, nagy átmérőjű vezetékszakaszok. Ide tartozik még a hazai földgázimport szempontjából több kiemelkedő vezetékszakasz is (például Beregdaróc-Nemesbikk vagy Beregdaróc-Hajdúszoboszló közti szakaszok). </w:t>
      </w:r>
    </w:p>
    <w:p w14:paraId="16732850" w14:textId="77777777" w:rsidR="006224F9" w:rsidRPr="00DE357F" w:rsidRDefault="006224F9" w:rsidP="006224F9">
      <w:r w:rsidRPr="00DE357F">
        <w:t>Ez a kategorizálás természetesen az egymáshoz viszonyított pontozást, értékelést mutatja, és semmiféleképpen nem jelenti, hogy ezek a vezetékszakaszok bármilyen módon problémásak lennének. Erre garancia a magas színvonalú és folyamatos monitoring tevékenység (például csőgörényezési tevékenység és értékelése), a folyamatos karbantartás, felújítás, fejlesztés, amelyeket az FGSZ tervszerűen, rendszeresen végez.</w:t>
      </w:r>
    </w:p>
    <w:p w14:paraId="50F40DEB" w14:textId="77777777" w:rsidR="006224F9" w:rsidRPr="00592227" w:rsidRDefault="006224F9" w:rsidP="004C4903"/>
    <w:p w14:paraId="77A52294" w14:textId="77777777" w:rsidR="000D2C0A" w:rsidRPr="00592227" w:rsidRDefault="000D2C0A" w:rsidP="003C305A">
      <w:pPr>
        <w:ind w:firstLine="0"/>
        <w:jc w:val="center"/>
      </w:pPr>
      <w:r w:rsidRPr="00592227">
        <w:rPr>
          <w:noProof/>
          <w:lang w:eastAsia="hu-HU"/>
          <w14:ligatures w14:val="none"/>
        </w:rPr>
        <w:lastRenderedPageBreak/>
        <w:drawing>
          <wp:inline distT="0" distB="0" distL="0" distR="0" wp14:anchorId="24E69771" wp14:editId="3D4C8ADD">
            <wp:extent cx="5760720" cy="3728720"/>
            <wp:effectExtent l="0" t="0" r="0" b="508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z_nagynyomasu_erz_23082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728720"/>
                    </a:xfrm>
                    <a:prstGeom prst="rect">
                      <a:avLst/>
                    </a:prstGeom>
                  </pic:spPr>
                </pic:pic>
              </a:graphicData>
            </a:graphic>
          </wp:inline>
        </w:drawing>
      </w:r>
    </w:p>
    <w:p w14:paraId="4DBA7CCB" w14:textId="77777777" w:rsidR="001A3E94" w:rsidRPr="00592227" w:rsidRDefault="004D28E8" w:rsidP="003C305A">
      <w:pPr>
        <w:ind w:firstLine="0"/>
        <w:jc w:val="center"/>
        <w:rPr>
          <w:i/>
          <w:sz w:val="22"/>
          <w:szCs w:val="22"/>
        </w:rPr>
      </w:pPr>
      <w:r w:rsidRPr="00592227">
        <w:rPr>
          <w:b/>
          <w:i/>
          <w:sz w:val="22"/>
          <w:szCs w:val="22"/>
        </w:rPr>
        <w:t>18.</w:t>
      </w:r>
      <w:r w:rsidR="001A3E94" w:rsidRPr="00592227">
        <w:rPr>
          <w:b/>
          <w:i/>
          <w:sz w:val="22"/>
          <w:szCs w:val="22"/>
        </w:rPr>
        <w:t xml:space="preserve"> ábra</w:t>
      </w:r>
      <w:r w:rsidR="001A3E94" w:rsidRPr="00592227">
        <w:rPr>
          <w:i/>
          <w:sz w:val="22"/>
          <w:szCs w:val="22"/>
        </w:rPr>
        <w:t xml:space="preserve"> A nagynyomású földgázhálózat </w:t>
      </w:r>
      <w:r w:rsidR="004939EC" w:rsidRPr="00592227">
        <w:rPr>
          <w:i/>
          <w:sz w:val="22"/>
          <w:szCs w:val="22"/>
        </w:rPr>
        <w:t xml:space="preserve">vizsgált </w:t>
      </w:r>
      <w:r w:rsidR="001A3E94" w:rsidRPr="00592227">
        <w:rPr>
          <w:i/>
          <w:sz w:val="22"/>
          <w:szCs w:val="22"/>
        </w:rPr>
        <w:t>vezetékszakaszainak érzékenységi besorolása a komplex érzékenységi indikátor alapján</w:t>
      </w:r>
    </w:p>
    <w:p w14:paraId="007DCDA8" w14:textId="77777777" w:rsidR="001A3E94" w:rsidRPr="00592227" w:rsidRDefault="001A3E94" w:rsidP="003C305A"/>
    <w:p w14:paraId="45B3F61F" w14:textId="77777777" w:rsidR="004939EC" w:rsidRPr="00592227" w:rsidRDefault="003F4791" w:rsidP="006D5975">
      <w:pPr>
        <w:pStyle w:val="Cmsor2"/>
        <w:rPr>
          <w:noProof/>
        </w:rPr>
      </w:pPr>
      <w:bookmarkStart w:id="23" w:name="_Toc147484205"/>
      <w:r w:rsidRPr="00592227">
        <w:rPr>
          <w:noProof/>
        </w:rPr>
        <w:t>8.4</w:t>
      </w:r>
      <w:r w:rsidR="00EB300D" w:rsidRPr="00592227">
        <w:rPr>
          <w:noProof/>
        </w:rPr>
        <w:t xml:space="preserve">. </w:t>
      </w:r>
      <w:r w:rsidR="004939EC" w:rsidRPr="00592227">
        <w:rPr>
          <w:noProof/>
        </w:rPr>
        <w:t>A nagynyomású földgázhálózat vezetékszakaszainak esetében várható komplex hatások</w:t>
      </w:r>
      <w:bookmarkEnd w:id="23"/>
    </w:p>
    <w:p w14:paraId="0FDA3A89" w14:textId="77777777" w:rsidR="0095434E" w:rsidRPr="00DE357F" w:rsidRDefault="00C3452D" w:rsidP="0095434E">
      <w:r w:rsidRPr="00DE357F">
        <w:t xml:space="preserve">Az éghajlati és földtani kitettségi mutatók </w:t>
      </w:r>
      <w:proofErr w:type="gramStart"/>
      <w:r w:rsidRPr="00DE357F">
        <w:t>alapján</w:t>
      </w:r>
      <w:proofErr w:type="gramEnd"/>
      <w:r w:rsidRPr="00DE357F">
        <w:t xml:space="preserve"> valamint a komplex érzékenységi mutatókból várható hatásra vonatkozó összetett hatásindikátort képeztünk a nagynyomású földgázhálózat vezetékszakaszaira. Ennek besorolását az alábbi 4 tematikus térkép tartalmazza. </w:t>
      </w:r>
      <w:r w:rsidR="0095434E" w:rsidRPr="00DE357F">
        <w:t>A hatás számításához szükséges képletet a módszertani tanulmány tartalmazza, ám a számítások elvégzése és a számított adatok áttekintése után tudtuk csak létrehozni a háromosztatú úgynevezett jelzőlámpa besorolást, amelynek kategóriái</w:t>
      </w:r>
      <w:r w:rsidR="00232A46" w:rsidRPr="00DE357F">
        <w:t xml:space="preserve"> (hasonló osztályközzel)</w:t>
      </w:r>
      <w:r w:rsidR="0095434E" w:rsidRPr="00DE357F">
        <w:t>: 0-5 pont alacsony várható hatás, 6-10 pont közepes várható hatás, 11 pont felett magas várható hatás.</w:t>
      </w:r>
      <w:r w:rsidRPr="00DE357F">
        <w:t xml:space="preserve"> </w:t>
      </w:r>
    </w:p>
    <w:p w14:paraId="25C093EB" w14:textId="77777777" w:rsidR="00C3452D" w:rsidRPr="00DE357F" w:rsidRDefault="00C3452D" w:rsidP="00C3452D">
      <w:r w:rsidRPr="00DE357F">
        <w:t>Az éghajlati modellezések eredményeit figyelembe véve megállapítható, hogy középtávon (2021-2050) a legtöbb hazai vezetékszakasz esetén várhatóan alacsony (Dunántúl</w:t>
      </w:r>
      <w:r w:rsidR="001E0CE3" w:rsidRPr="00DE357F">
        <w:t>, Észak-Magyarország</w:t>
      </w:r>
      <w:r w:rsidRPr="00DE357F">
        <w:t xml:space="preserve">) vagy alacsony és közepes </w:t>
      </w:r>
      <w:r w:rsidR="001E0CE3" w:rsidRPr="00DE357F">
        <w:t>(Alföld) lesz az összetett hatás. Erős komplex hatást mutató vezetékszakasz középtávra nem található</w:t>
      </w:r>
      <w:r w:rsidR="00145DD8" w:rsidRPr="00DE357F">
        <w:t xml:space="preserve"> a számított indikátorok közt</w:t>
      </w:r>
      <w:r w:rsidR="001E0CE3" w:rsidRPr="00DE357F">
        <w:t>.</w:t>
      </w:r>
    </w:p>
    <w:p w14:paraId="4C0621D4" w14:textId="77777777" w:rsidR="00C3452D" w:rsidRPr="00DE357F" w:rsidRDefault="00C3452D" w:rsidP="00C3452D">
      <w:r w:rsidRPr="00DE357F">
        <w:t>A hosszútávú (2071-2100) előrejelzések már árnyaltabb és erőteljesebb hatásokat vetítenek előre különösen a pesszimista éghajlati forgatókönyv (RCP 8.5) alapján. Nagy arányban csökken majd a várhatóan alacsony hatású kategóriába sorolt vezetékszakaszok száma. A</w:t>
      </w:r>
      <w:r w:rsidR="001E0CE3" w:rsidRPr="00DE357F">
        <w:t>z Észak</w:t>
      </w:r>
      <w:r w:rsidR="00145DD8" w:rsidRPr="00DE357F">
        <w:t>-</w:t>
      </w:r>
      <w:r w:rsidR="001E0CE3" w:rsidRPr="00DE357F">
        <w:t xml:space="preserve"> és a Dél-Alföld</w:t>
      </w:r>
      <w:r w:rsidRPr="00DE357F">
        <w:t xml:space="preserve"> </w:t>
      </w:r>
      <w:r w:rsidR="001E0CE3" w:rsidRPr="00DE357F">
        <w:t>több vezetékszakasza</w:t>
      </w:r>
      <w:r w:rsidRPr="00DE357F">
        <w:t xml:space="preserve"> is a magas várható hatással jellemezhető kategóriába került. Hosszútávon is alacsony hatású kategóriába került </w:t>
      </w:r>
      <w:r w:rsidR="00145DD8" w:rsidRPr="00DE357F">
        <w:t xml:space="preserve">viszont </w:t>
      </w:r>
      <w:r w:rsidRPr="00DE357F">
        <w:t xml:space="preserve">besorolásra </w:t>
      </w:r>
      <w:r w:rsidR="00145DD8" w:rsidRPr="00DE357F">
        <w:t>Budapest</w:t>
      </w:r>
      <w:r w:rsidRPr="00DE357F">
        <w:t xml:space="preserve"> térségének </w:t>
      </w:r>
      <w:r w:rsidR="00145DD8" w:rsidRPr="00DE357F">
        <w:t xml:space="preserve">és a Dunántúl-középhegység </w:t>
      </w:r>
      <w:r w:rsidRPr="00DE357F">
        <w:t>legtöbb vezetékszakasza.</w:t>
      </w:r>
    </w:p>
    <w:p w14:paraId="3DD355C9" w14:textId="77777777" w:rsidR="00C3452D" w:rsidRPr="00592227" w:rsidRDefault="00C3452D" w:rsidP="00C3452D"/>
    <w:p w14:paraId="1A81F0B1" w14:textId="77777777" w:rsidR="00EB300D" w:rsidRPr="00592227" w:rsidRDefault="00EB300D" w:rsidP="003C305A"/>
    <w:p w14:paraId="717AAFBA" w14:textId="77777777" w:rsidR="00EB300D" w:rsidRPr="00592227" w:rsidRDefault="000B1E75" w:rsidP="003C305A">
      <w:pPr>
        <w:ind w:firstLine="0"/>
        <w:jc w:val="center"/>
      </w:pPr>
      <w:r w:rsidRPr="00592227">
        <w:rPr>
          <w:noProof/>
          <w:lang w:eastAsia="hu-HU"/>
          <w14:ligatures w14:val="none"/>
        </w:rPr>
        <w:lastRenderedPageBreak/>
        <w:drawing>
          <wp:inline distT="0" distB="0" distL="0" distR="0" wp14:anchorId="3C781EB2" wp14:editId="673E6768">
            <wp:extent cx="5760720" cy="355028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z_nagynyomasu_hatas_fekvo_23092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550285"/>
                    </a:xfrm>
                    <a:prstGeom prst="rect">
                      <a:avLst/>
                    </a:prstGeom>
                  </pic:spPr>
                </pic:pic>
              </a:graphicData>
            </a:graphic>
          </wp:inline>
        </w:drawing>
      </w:r>
    </w:p>
    <w:p w14:paraId="049EA8ED" w14:textId="77777777" w:rsidR="00A4046C" w:rsidRPr="00592227" w:rsidRDefault="004D28E8" w:rsidP="003C305A">
      <w:pPr>
        <w:ind w:firstLine="0"/>
        <w:jc w:val="center"/>
      </w:pPr>
      <w:r w:rsidRPr="00592227">
        <w:rPr>
          <w:b/>
          <w:i/>
          <w:sz w:val="22"/>
          <w:szCs w:val="22"/>
        </w:rPr>
        <w:t>19</w:t>
      </w:r>
      <w:r w:rsidR="00A4046C" w:rsidRPr="00592227">
        <w:rPr>
          <w:b/>
          <w:i/>
          <w:sz w:val="22"/>
          <w:szCs w:val="22"/>
        </w:rPr>
        <w:t>. ábra</w:t>
      </w:r>
      <w:r w:rsidR="00A4046C" w:rsidRPr="00592227">
        <w:rPr>
          <w:sz w:val="22"/>
          <w:szCs w:val="22"/>
        </w:rPr>
        <w:t xml:space="preserve"> </w:t>
      </w:r>
      <w:r w:rsidR="00A4046C" w:rsidRPr="00592227">
        <w:rPr>
          <w:i/>
          <w:sz w:val="22"/>
          <w:szCs w:val="22"/>
        </w:rPr>
        <w:t xml:space="preserve">A nagynyomású földgázhálózat </w:t>
      </w:r>
      <w:r w:rsidR="004939EC" w:rsidRPr="00592227">
        <w:rPr>
          <w:i/>
          <w:sz w:val="22"/>
          <w:szCs w:val="22"/>
        </w:rPr>
        <w:t xml:space="preserve">vizsgált </w:t>
      </w:r>
      <w:r w:rsidR="00A4046C" w:rsidRPr="00592227">
        <w:rPr>
          <w:i/>
          <w:sz w:val="22"/>
          <w:szCs w:val="22"/>
        </w:rPr>
        <w:t>vezetékszakaszainak várható hatásra vonatkozó besorolása a komplex kategóriák alapján</w:t>
      </w:r>
    </w:p>
    <w:p w14:paraId="56EE48EE" w14:textId="77777777" w:rsidR="001202F1" w:rsidRPr="00592227" w:rsidRDefault="001202F1" w:rsidP="00EB300D">
      <w:pPr>
        <w:pStyle w:val="TJ3"/>
        <w:ind w:left="0"/>
      </w:pPr>
      <w:r w:rsidRPr="00592227">
        <w:br w:type="page"/>
      </w:r>
    </w:p>
    <w:p w14:paraId="4E510333" w14:textId="77777777" w:rsidR="001754C9" w:rsidRPr="00592227" w:rsidRDefault="003F4791" w:rsidP="006D5975">
      <w:pPr>
        <w:pStyle w:val="Cmsor1"/>
      </w:pPr>
      <w:bookmarkStart w:id="24" w:name="_Toc147484206"/>
      <w:r w:rsidRPr="00592227">
        <w:lastRenderedPageBreak/>
        <w:t>9</w:t>
      </w:r>
      <w:r w:rsidR="00EB300D" w:rsidRPr="00592227">
        <w:t>. A nagy hőkiadású távhőkörzetek szállító rendszerelemeinek várható éghajlati és földtani sérülékenysége</w:t>
      </w:r>
      <w:bookmarkEnd w:id="24"/>
    </w:p>
    <w:p w14:paraId="2908EB2C" w14:textId="77777777" w:rsidR="001202F1" w:rsidRPr="00592227" w:rsidRDefault="001202F1" w:rsidP="00592227"/>
    <w:p w14:paraId="4422FD12" w14:textId="77777777" w:rsidR="001202F1" w:rsidRPr="00DE357F" w:rsidRDefault="001202F1" w:rsidP="00DE357F">
      <w:r w:rsidRPr="00DE357F">
        <w:t xml:space="preserve">A </w:t>
      </w:r>
      <w:r w:rsidR="00385848" w:rsidRPr="00DE357F">
        <w:t>MATÁSzSz tagvállalatai</w:t>
      </w:r>
      <w:r w:rsidRPr="00DE357F">
        <w:t xml:space="preserve"> által működtetett</w:t>
      </w:r>
      <w:r w:rsidR="00385848" w:rsidRPr="00DE357F">
        <w:t>,</w:t>
      </w:r>
      <w:r w:rsidRPr="00DE357F">
        <w:t xml:space="preserve"> nagy hőkiadású (100</w:t>
      </w:r>
      <w:r w:rsidR="00943420" w:rsidRPr="00DE357F">
        <w:t>.</w:t>
      </w:r>
      <w:r w:rsidRPr="00DE357F">
        <w:t>000 GJ felett) távhőrendszerek</w:t>
      </w:r>
      <w:r w:rsidR="00385848" w:rsidRPr="00DE357F">
        <w:t xml:space="preserve"> (és vezetékeik)</w:t>
      </w:r>
      <w:r w:rsidRPr="00DE357F">
        <w:t xml:space="preserve"> éghaj</w:t>
      </w:r>
      <w:r w:rsidR="00385848" w:rsidRPr="00DE357F">
        <w:t>lati és földtani sérülékenységének vizsgálatát</w:t>
      </w:r>
      <w:r w:rsidRPr="00DE357F">
        <w:t xml:space="preserve"> és térképezés</w:t>
      </w:r>
      <w:r w:rsidR="00385848" w:rsidRPr="00DE357F">
        <w:t>é</w:t>
      </w:r>
      <w:r w:rsidRPr="00DE357F">
        <w:t>t a CIVAS modell logikai keretében</w:t>
      </w:r>
      <w:r w:rsidR="00385848" w:rsidRPr="00DE357F">
        <w:t xml:space="preserve"> végeztük el</w:t>
      </w:r>
      <w:r w:rsidRPr="00DE357F">
        <w:t xml:space="preserve">. </w:t>
      </w:r>
      <w:r w:rsidR="009B3E43" w:rsidRPr="00DE357F">
        <w:t>Mindösszesen 29 távhőkörzetet</w:t>
      </w:r>
      <w:r w:rsidR="00BF256E" w:rsidRPr="00DE357F">
        <w:t xml:space="preserve"> (ebből 8 található Budapesten)</w:t>
      </w:r>
      <w:r w:rsidR="009B3E43" w:rsidRPr="00DE357F">
        <w:t xml:space="preserve"> vontunk be a vizsgálatba</w:t>
      </w:r>
      <w:r w:rsidR="009C524F" w:rsidRPr="00DE357F">
        <w:footnoteReference w:id="8"/>
      </w:r>
      <w:r w:rsidR="009B3E43" w:rsidRPr="00DE357F">
        <w:t xml:space="preserve">. </w:t>
      </w:r>
      <w:r w:rsidRPr="00DE357F">
        <w:t>A fő eredményeket az alábbiakban foglaljuk össze.</w:t>
      </w:r>
      <w:r w:rsidR="009C524F" w:rsidRPr="00DE357F">
        <w:footnoteReference w:id="9"/>
      </w:r>
    </w:p>
    <w:p w14:paraId="121FD38A" w14:textId="77777777" w:rsidR="001202F1" w:rsidRPr="00592227" w:rsidRDefault="001202F1" w:rsidP="00592227"/>
    <w:p w14:paraId="18F70B52" w14:textId="77777777" w:rsidR="00EB300D" w:rsidRPr="00592227" w:rsidRDefault="003F4791" w:rsidP="006D5975">
      <w:pPr>
        <w:pStyle w:val="Cmsor2"/>
      </w:pPr>
      <w:bookmarkStart w:id="25" w:name="_Toc147484207"/>
      <w:r w:rsidRPr="00592227">
        <w:t xml:space="preserve">9.1 A kialakított </w:t>
      </w:r>
      <w:r w:rsidR="00E3204F" w:rsidRPr="00592227">
        <w:t xml:space="preserve">sérülékenységi </w:t>
      </w:r>
      <w:r w:rsidRPr="00592227">
        <w:t>h</w:t>
      </w:r>
      <w:r w:rsidR="001754C9" w:rsidRPr="00592227">
        <w:t>atáslánc</w:t>
      </w:r>
      <w:r w:rsidR="00EB300D" w:rsidRPr="00592227">
        <w:t xml:space="preserve"> </w:t>
      </w:r>
      <w:r w:rsidR="00503FD4" w:rsidRPr="00592227">
        <w:t>és fő indikátorai</w:t>
      </w:r>
      <w:bookmarkEnd w:id="25"/>
    </w:p>
    <w:p w14:paraId="43D77036" w14:textId="77777777" w:rsidR="00503FD4" w:rsidRPr="00DE357F" w:rsidRDefault="00E3204F" w:rsidP="00E3204F">
      <w:pPr>
        <w:rPr>
          <w:szCs w:val="24"/>
        </w:rPr>
      </w:pPr>
      <w:r w:rsidRPr="00DE357F">
        <w:rPr>
          <w:szCs w:val="24"/>
        </w:rPr>
        <w:t>A fő vizsgálati területek és hatásláncuk, a szakmai partnernek köszönhetően, több körben került kialakításra, súlyozásra, és hozzá megfelelő mennyiségű érzékenységi és alkalmazkodóképességre vonatkozó alapadat is rendelkezésre állt. A hatáslánc az éghajlati és földtani hatásoknak sokrétűen kitett, a hazai, nagy hőkiadású</w:t>
      </w:r>
      <w:r w:rsidR="00503FD4" w:rsidRPr="00DE357F">
        <w:rPr>
          <w:szCs w:val="24"/>
        </w:rPr>
        <w:t xml:space="preserve"> és eltérő érzékenységű</w:t>
      </w:r>
      <w:r w:rsidRPr="00DE357F">
        <w:rPr>
          <w:szCs w:val="24"/>
        </w:rPr>
        <w:t xml:space="preserve"> </w:t>
      </w:r>
      <w:r w:rsidR="00503FD4" w:rsidRPr="00DE357F">
        <w:rPr>
          <w:szCs w:val="24"/>
        </w:rPr>
        <w:t xml:space="preserve">és alkalmazkodóképességű </w:t>
      </w:r>
      <w:r w:rsidRPr="00DE357F">
        <w:rPr>
          <w:szCs w:val="24"/>
        </w:rPr>
        <w:t xml:space="preserve">távhőkörzetek távhővezetékeire került kialakításra. </w:t>
      </w:r>
    </w:p>
    <w:p w14:paraId="6C58A1AE" w14:textId="77777777" w:rsidR="00503FD4" w:rsidRPr="00DE357F" w:rsidRDefault="00503FD4" w:rsidP="00503FD4">
      <w:pPr>
        <w:rPr>
          <w:szCs w:val="24"/>
        </w:rPr>
      </w:pPr>
      <w:r w:rsidRPr="00DE357F">
        <w:rPr>
          <w:szCs w:val="24"/>
        </w:rPr>
        <w:t>A távhő-szektorban a legnagyobb éghajlati kitettséggel bíró távhővezetékek állapotára várható hatást igyekeztünk számszerűsíteni</w:t>
      </w:r>
      <w:r w:rsidR="00D32D4B" w:rsidRPr="00DE357F">
        <w:rPr>
          <w:szCs w:val="24"/>
        </w:rPr>
        <w:t xml:space="preserve"> távhőkörzetenként</w:t>
      </w:r>
      <w:r w:rsidRPr="00DE357F">
        <w:rPr>
          <w:szCs w:val="24"/>
        </w:rPr>
        <w:t xml:space="preserve">, </w:t>
      </w:r>
      <w:r w:rsidR="00D32D4B" w:rsidRPr="00DE357F">
        <w:rPr>
          <w:szCs w:val="24"/>
        </w:rPr>
        <w:t>a</w:t>
      </w:r>
      <w:r w:rsidRPr="00DE357F">
        <w:rPr>
          <w:szCs w:val="24"/>
        </w:rPr>
        <w:t>melyhez olyan éghajlati indikátorokat választottunk, amelyekre mind valamilyen rácsponti éghajlati megfigyelés, és mind a kétféle jövőbeli (optimista és pesszimista) kibocsátási forgatókönyvre előálló, legalább 6-10 különböző éghajlati modellszimuláció eredményei is rendelkezésünkre állnak hazánkra a megfelelő tér- és időbeli felbontáson. A következő néhány indikátort a nemzetközi szakirodalom korábbi cikkeit is figy</w:t>
      </w:r>
      <w:r w:rsidR="00D32D4B" w:rsidRPr="00DE357F">
        <w:rPr>
          <w:szCs w:val="24"/>
        </w:rPr>
        <w:t>elembe véve, majd a hazai távhő</w:t>
      </w:r>
      <w:r w:rsidRPr="00DE357F">
        <w:rPr>
          <w:szCs w:val="24"/>
        </w:rPr>
        <w:t>szektor szakembereinek együttműködésével közösen választottuk ki. Súlyozással is elláttuk az indikátorokat, hiszen azoknak nem azonos mértékben van hatásuk a távhő rendszer elemeinek állapotára.</w:t>
      </w:r>
    </w:p>
    <w:p w14:paraId="5AA0BB6F" w14:textId="14CD68E4" w:rsidR="00503FD4" w:rsidRPr="00DE357F" w:rsidRDefault="00503FD4" w:rsidP="00DE357F">
      <w:pPr>
        <w:pStyle w:val="Listaszerbekezds"/>
        <w:numPr>
          <w:ilvl w:val="0"/>
          <w:numId w:val="19"/>
        </w:numPr>
        <w:ind w:left="709"/>
        <w:rPr>
          <w:szCs w:val="24"/>
        </w:rPr>
      </w:pPr>
      <w:r w:rsidRPr="00DE357F">
        <w:rPr>
          <w:b/>
          <w:bCs/>
          <w:szCs w:val="24"/>
        </w:rPr>
        <w:t>Nagy csapadékok</w:t>
      </w:r>
      <w:r w:rsidRPr="00DE357F">
        <w:rPr>
          <w:szCs w:val="24"/>
        </w:rPr>
        <w:t>: Itt két indikátort választottunk ki – a 23 mm feletti csapadékú napok éves számát, mely küszöböt több év földcsuszamlásos eseteinek statisztikái alapján határoztunk meg, és az órás csapadékintenzitás éves maximumát. Ezekből a csapadékintenzitást tekintettük nagyobb súllyal (1,2) a 23 mm feletti napokkal szemben (1), mert a legintenzívebb csapadékok változása talán kissé jobban érinti a távhő-infrastruktúra elemeit, mint a nagycsapadékok napjainak számának, azaz a gyakoriságának növekedése.</w:t>
      </w:r>
    </w:p>
    <w:p w14:paraId="29A650DD" w14:textId="38E04105" w:rsidR="00503FD4" w:rsidRPr="00DE357F" w:rsidRDefault="00503FD4" w:rsidP="00DE357F">
      <w:pPr>
        <w:pStyle w:val="Listaszerbekezds"/>
        <w:numPr>
          <w:ilvl w:val="0"/>
          <w:numId w:val="19"/>
        </w:numPr>
        <w:ind w:left="709"/>
        <w:rPr>
          <w:szCs w:val="24"/>
        </w:rPr>
      </w:pPr>
      <w:r w:rsidRPr="00DE357F">
        <w:rPr>
          <w:b/>
          <w:bCs/>
          <w:szCs w:val="24"/>
        </w:rPr>
        <w:t>Nagy szelek</w:t>
      </w:r>
      <w:r w:rsidRPr="00DE357F">
        <w:rPr>
          <w:szCs w:val="24"/>
        </w:rPr>
        <w:t>: A nagy szelek a távhő infrastruktúra-elemeket jelentősen megrongálhatják, ezért mind azok gyakoriságának és intenzitásának növekedését vizsgálnunk kell. A gyakoriság növekedésére a viharos napokat választottuk ki (amely a napi széllökés-maximumok 99,6. percentilisét jelenti), míg az intenzitást az éves széllökés-maximumokkal írjuk le. Úgy látjuk, hogy a villamosenergia-szektornál kisebb hatásuk van ezen két indikátornak a távhőnél, ezért itt a gyakoriságnövekedésre 1-es, az intenzitásra 1,2-es súlyt adtunk.</w:t>
      </w:r>
    </w:p>
    <w:p w14:paraId="1EAEA1E7" w14:textId="0E7522BD" w:rsidR="00503FD4" w:rsidRPr="00DE357F" w:rsidRDefault="00503FD4" w:rsidP="00DE357F">
      <w:pPr>
        <w:pStyle w:val="Listaszerbekezds"/>
        <w:numPr>
          <w:ilvl w:val="0"/>
          <w:numId w:val="19"/>
        </w:numPr>
        <w:ind w:left="709"/>
        <w:rPr>
          <w:szCs w:val="24"/>
        </w:rPr>
      </w:pPr>
      <w:r w:rsidRPr="00DE357F">
        <w:rPr>
          <w:b/>
          <w:bCs/>
          <w:szCs w:val="24"/>
        </w:rPr>
        <w:t>Fagypont körüli csapadék</w:t>
      </w:r>
      <w:r w:rsidRPr="00DE357F">
        <w:rPr>
          <w:szCs w:val="24"/>
        </w:rPr>
        <w:t>: A hőmérsékletváltozás és a téli csapadék szintén rongálhatja a vezetékrendszereket. Ehhez azokat a napokat vettük figyelembe, amikor a maximumhőmérséklet 0 °C feletti és a minimumhőmérséklet 0 °C alatti értéke mellett a legalább 0,1 mm-nyi csapadék együttesen fordul elő. Ehhez egy 1,5-ös súlyt rendeltünk.</w:t>
      </w:r>
    </w:p>
    <w:p w14:paraId="27357532" w14:textId="77777777" w:rsidR="00503FD4" w:rsidRPr="00DE357F" w:rsidRDefault="00503FD4" w:rsidP="00E3204F"/>
    <w:p w14:paraId="5C8925CA" w14:textId="77777777" w:rsidR="00CC573A" w:rsidRPr="00DE357F" w:rsidRDefault="00E3204F" w:rsidP="002325B5">
      <w:r w:rsidRPr="00DE357F">
        <w:t xml:space="preserve">Hangsúlyosan vettük figyelembe </w:t>
      </w:r>
      <w:r w:rsidR="00503FD4" w:rsidRPr="00DE357F">
        <w:t xml:space="preserve">a már bemutatott </w:t>
      </w:r>
      <w:r w:rsidRPr="00DE357F">
        <w:t>földtani kitettségi jellemzőket</w:t>
      </w:r>
      <w:r w:rsidR="00CC573A" w:rsidRPr="00DE357F">
        <w:t xml:space="preserve"> (10 db)</w:t>
      </w:r>
      <w:r w:rsidR="00503FD4" w:rsidRPr="00DE357F">
        <w:t xml:space="preserve"> és komplex </w:t>
      </w:r>
      <w:r w:rsidR="009B3E43" w:rsidRPr="00DE357F">
        <w:t xml:space="preserve">földtani </w:t>
      </w:r>
      <w:r w:rsidR="00503FD4" w:rsidRPr="00DE357F">
        <w:t>pontozásos mutatót is</w:t>
      </w:r>
      <w:r w:rsidR="0011518A" w:rsidRPr="00DE357F">
        <w:t xml:space="preserve"> (lásd 6.2 fejezet)</w:t>
      </w:r>
      <w:r w:rsidRPr="00DE357F">
        <w:t xml:space="preserve">. </w:t>
      </w:r>
    </w:p>
    <w:p w14:paraId="3E257719" w14:textId="54FE0047" w:rsidR="00E3204F" w:rsidRPr="00DE357F" w:rsidRDefault="00E3204F" w:rsidP="00E3204F">
      <w:r w:rsidRPr="00DE357F">
        <w:t>A felhasznált érzékenységi és alkalmazkodóképességi alapadatok (például távhővezetékek</w:t>
      </w:r>
      <w:r w:rsidR="00503FD4" w:rsidRPr="00DE357F">
        <w:t xml:space="preserve"> eltérő védettségi jellemzői, életkora, hővesztesége stb.) a</w:t>
      </w:r>
      <w:r w:rsidRPr="00DE357F">
        <w:t xml:space="preserve"> MATÁSzSz erre az alkalomra </w:t>
      </w:r>
      <w:r w:rsidR="00503FD4" w:rsidRPr="00DE357F">
        <w:t xml:space="preserve">2021. évben </w:t>
      </w:r>
      <w:r w:rsidRPr="00DE357F">
        <w:t xml:space="preserve">készített eseti saját adatgyűjtéséből </w:t>
      </w:r>
      <w:r w:rsidR="00503FD4" w:rsidRPr="00DE357F">
        <w:t xml:space="preserve">és </w:t>
      </w:r>
      <w:r w:rsidR="00CC573A" w:rsidRPr="00DE357F">
        <w:t xml:space="preserve">annak </w:t>
      </w:r>
      <w:r w:rsidR="00503FD4" w:rsidRPr="00DE357F">
        <w:t xml:space="preserve">kiértékeléséből </w:t>
      </w:r>
      <w:r w:rsidRPr="00DE357F">
        <w:t>szár</w:t>
      </w:r>
      <w:r w:rsidR="00503FD4" w:rsidRPr="00DE357F">
        <w:t>mazt</w:t>
      </w:r>
      <w:r w:rsidRPr="00DE357F">
        <w:t>ak. Tőlük, megfelelő engedélyek birtokában, ez megigényelhető, illetve újra elvégezhető. A hozzá kapcsolódó módszertan</w:t>
      </w:r>
      <w:r w:rsidR="00503FD4" w:rsidRPr="00DE357F">
        <w:t xml:space="preserve">i tanulmány </w:t>
      </w:r>
      <w:r w:rsidRPr="00DE357F">
        <w:t>e projekt keretében került kialakításra</w:t>
      </w:r>
      <w:r w:rsidR="00503FD4" w:rsidRPr="00DE357F">
        <w:t xml:space="preserve">. </w:t>
      </w:r>
      <w:r w:rsidRPr="00DE357F">
        <w:t>A kialakított hatáslánc alább látható (</w:t>
      </w:r>
      <w:r w:rsidR="00CB184E" w:rsidRPr="00DE357F">
        <w:t>20</w:t>
      </w:r>
      <w:r w:rsidRPr="00DE357F">
        <w:t>. ábra).</w:t>
      </w:r>
    </w:p>
    <w:p w14:paraId="2916C19D" w14:textId="77777777" w:rsidR="00E3204F" w:rsidRPr="00DE357F" w:rsidRDefault="00E3204F" w:rsidP="00E3204F"/>
    <w:p w14:paraId="74869460" w14:textId="77777777" w:rsidR="00330073" w:rsidRPr="00592227" w:rsidRDefault="00330073" w:rsidP="00330073">
      <w:pPr>
        <w:keepNext/>
        <w:rPr>
          <w:sz w:val="22"/>
          <w:szCs w:val="22"/>
        </w:rPr>
      </w:pPr>
      <w:r w:rsidRPr="00592227">
        <w:rPr>
          <w:noProof/>
          <w:sz w:val="22"/>
          <w:szCs w:val="22"/>
          <w:lang w:eastAsia="hu-HU"/>
        </w:rPr>
        <w:drawing>
          <wp:inline distT="0" distB="0" distL="0" distR="0" wp14:anchorId="6011EB54" wp14:editId="2A7DDA98">
            <wp:extent cx="4604400" cy="3452400"/>
            <wp:effectExtent l="0" t="0" r="5715" b="0"/>
            <wp:docPr id="27" name="Kép 27" descr="A képen szöveg, képernyőkép, Betűtípus, dokument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szöveg, képernyőkép, Betűtípus, dokumentum látható&#10;&#10;Automatikusan generált leírás"/>
                    <pic:cNvPicPr/>
                  </pic:nvPicPr>
                  <pic:blipFill>
                    <a:blip r:embed="rId37">
                      <a:extLst>
                        <a:ext uri="{28A0092B-C50C-407E-A947-70E740481C1C}">
                          <a14:useLocalDpi xmlns:a14="http://schemas.microsoft.com/office/drawing/2010/main" val="0"/>
                        </a:ext>
                      </a:extLst>
                    </a:blip>
                    <a:stretch>
                      <a:fillRect/>
                    </a:stretch>
                  </pic:blipFill>
                  <pic:spPr>
                    <a:xfrm>
                      <a:off x="0" y="0"/>
                      <a:ext cx="4604400" cy="3452400"/>
                    </a:xfrm>
                    <a:prstGeom prst="rect">
                      <a:avLst/>
                    </a:prstGeom>
                  </pic:spPr>
                </pic:pic>
              </a:graphicData>
            </a:graphic>
          </wp:inline>
        </w:drawing>
      </w:r>
    </w:p>
    <w:p w14:paraId="187F57B8" w14:textId="77777777" w:rsidR="00330073" w:rsidRPr="00592227" w:rsidRDefault="00330073" w:rsidP="00592227"/>
    <w:p w14:paraId="69AE52EB" w14:textId="77777777" w:rsidR="00330073" w:rsidRPr="00592227" w:rsidRDefault="00B026E6" w:rsidP="00330073">
      <w:pPr>
        <w:pStyle w:val="Kpalrs"/>
        <w:rPr>
          <w:szCs w:val="22"/>
        </w:rPr>
      </w:pPr>
      <w:r w:rsidRPr="00592227">
        <w:rPr>
          <w:b/>
          <w:bCs w:val="0"/>
          <w:szCs w:val="22"/>
        </w:rPr>
        <w:t>20</w:t>
      </w:r>
      <w:r w:rsidRPr="00592227">
        <w:rPr>
          <w:b/>
          <w:szCs w:val="22"/>
        </w:rPr>
        <w:t xml:space="preserve">. ábra </w:t>
      </w:r>
      <w:r w:rsidR="00330073" w:rsidRPr="00592227">
        <w:rPr>
          <w:szCs w:val="22"/>
        </w:rPr>
        <w:t xml:space="preserve">A hazai nagy hőkiadású távhőkörzetek távhővezetékeinek </w:t>
      </w:r>
      <w:r w:rsidR="00330073" w:rsidRPr="00592227">
        <w:rPr>
          <w:szCs w:val="22"/>
        </w:rPr>
        <w:br/>
        <w:t>komplex sérülékenységi hatáslánca</w:t>
      </w:r>
    </w:p>
    <w:p w14:paraId="54738AF4" w14:textId="77777777" w:rsidR="00330073" w:rsidRPr="00592227" w:rsidRDefault="00330073" w:rsidP="00592227"/>
    <w:p w14:paraId="4999A5BB" w14:textId="77777777" w:rsidR="00A21A0B" w:rsidRPr="00592227" w:rsidRDefault="003F4791" w:rsidP="006D5975">
      <w:pPr>
        <w:pStyle w:val="Cmsor2"/>
      </w:pPr>
      <w:bookmarkStart w:id="26" w:name="_Toc147484208"/>
      <w:r w:rsidRPr="00592227">
        <w:t>9.2</w:t>
      </w:r>
      <w:r w:rsidR="00A21A0B" w:rsidRPr="00592227">
        <w:t xml:space="preserve">. </w:t>
      </w:r>
      <w:r w:rsidR="006D083F" w:rsidRPr="00592227">
        <w:t>A nagy hőkiadású távhőkörzetek kitettségi jellemzői</w:t>
      </w:r>
      <w:bookmarkEnd w:id="26"/>
    </w:p>
    <w:p w14:paraId="2D7A4315" w14:textId="77777777" w:rsidR="009B3E43" w:rsidRPr="00DE357F" w:rsidRDefault="00BF256E" w:rsidP="009B3E43">
      <w:r w:rsidRPr="00DE357F">
        <w:t>A nagy hőkiadású fővárosi és nagyvárosi</w:t>
      </w:r>
      <w:r w:rsidR="009B3E43" w:rsidRPr="00DE357F">
        <w:t xml:space="preserve"> távhőkörzetek éghajlati kitettségének jövőbeli változása a középtávú (2021-2050) és hosszútávú (2071-2100) valamint optimista (RCP 4.5) és pesszimista (RCP 8.5) forgatókönyvek esetén várhatóan erősen eltérő lesz.</w:t>
      </w:r>
      <w:r w:rsidRPr="00DE357F">
        <w:t xml:space="preserve"> A komplex, 5</w:t>
      </w:r>
      <w:r w:rsidR="009B3E43" w:rsidRPr="00DE357F">
        <w:t xml:space="preserve"> kiválasztott, eltérően súlyozott indikátor jellemzőit együttesen mutató éghajlati kitettségi indikátor és háromosztatú jelzőlámpa kategorizálása alapján a következők állapíthatóak meg:  </w:t>
      </w:r>
    </w:p>
    <w:p w14:paraId="615A15E1" w14:textId="77777777" w:rsidR="009B3E43" w:rsidRPr="00333492" w:rsidRDefault="009B3E43" w:rsidP="00333492">
      <w:pPr>
        <w:pStyle w:val="Listaszerbekezds"/>
        <w:numPr>
          <w:ilvl w:val="0"/>
          <w:numId w:val="28"/>
        </w:numPr>
        <w:rPr>
          <w:szCs w:val="24"/>
        </w:rPr>
      </w:pPr>
      <w:r w:rsidRPr="00333492">
        <w:rPr>
          <w:szCs w:val="24"/>
        </w:rPr>
        <w:t>Középtávon az optimista forgatókönyv (RCP 4.5)</w:t>
      </w:r>
      <w:r w:rsidR="00BF256E" w:rsidRPr="00333492">
        <w:rPr>
          <w:szCs w:val="24"/>
        </w:rPr>
        <w:t xml:space="preserve"> alapján a nagyvárosi</w:t>
      </w:r>
      <w:r w:rsidRPr="00333492">
        <w:rPr>
          <w:szCs w:val="24"/>
        </w:rPr>
        <w:t xml:space="preserve"> </w:t>
      </w:r>
      <w:r w:rsidR="00BF256E" w:rsidRPr="00333492">
        <w:rPr>
          <w:szCs w:val="24"/>
        </w:rPr>
        <w:t>távhőkörzetek</w:t>
      </w:r>
      <w:r w:rsidRPr="00333492">
        <w:rPr>
          <w:szCs w:val="24"/>
        </w:rPr>
        <w:t xml:space="preserve"> döntő többsége a kevéssé kitett kategóriába tartozik majd. Kivételt </w:t>
      </w:r>
      <w:r w:rsidR="00BF256E" w:rsidRPr="00333492">
        <w:rPr>
          <w:szCs w:val="24"/>
        </w:rPr>
        <w:t xml:space="preserve">például </w:t>
      </w:r>
      <w:r w:rsidRPr="00333492">
        <w:rPr>
          <w:szCs w:val="24"/>
        </w:rPr>
        <w:t xml:space="preserve">néhány dél-dunántúli </w:t>
      </w:r>
      <w:r w:rsidR="00BF256E" w:rsidRPr="00333492">
        <w:rPr>
          <w:szCs w:val="24"/>
        </w:rPr>
        <w:t xml:space="preserve">(Pécs, Komló, Kaposvár), észak-dunántúli (például Sopron, Szombathely, Tatabánya, Veszprém) </w:t>
      </w:r>
      <w:r w:rsidRPr="00333492">
        <w:rPr>
          <w:szCs w:val="24"/>
        </w:rPr>
        <w:t>v</w:t>
      </w:r>
      <w:r w:rsidR="00BF256E" w:rsidRPr="00333492">
        <w:rPr>
          <w:szCs w:val="24"/>
        </w:rPr>
        <w:t>áros, továbbá Debrecen, Eger, Tiszaújváros</w:t>
      </w:r>
      <w:r w:rsidRPr="00333492">
        <w:rPr>
          <w:szCs w:val="24"/>
        </w:rPr>
        <w:t xml:space="preserve"> képez majd</w:t>
      </w:r>
      <w:r w:rsidR="00BF256E" w:rsidRPr="00333492">
        <w:rPr>
          <w:szCs w:val="24"/>
        </w:rPr>
        <w:t>, amelyek kitettsége</w:t>
      </w:r>
      <w:r w:rsidRPr="00333492">
        <w:rPr>
          <w:szCs w:val="24"/>
        </w:rPr>
        <w:t xml:space="preserve"> </w:t>
      </w:r>
      <w:r w:rsidR="00BF256E" w:rsidRPr="00333492">
        <w:rPr>
          <w:szCs w:val="24"/>
        </w:rPr>
        <w:t>várhatóan közepes lesz.</w:t>
      </w:r>
    </w:p>
    <w:p w14:paraId="1DC9EB1F" w14:textId="77777777" w:rsidR="009B3E43" w:rsidRPr="00333492" w:rsidRDefault="009B3E43" w:rsidP="00333492">
      <w:pPr>
        <w:pStyle w:val="Listaszerbekezds"/>
        <w:numPr>
          <w:ilvl w:val="0"/>
          <w:numId w:val="28"/>
        </w:numPr>
        <w:rPr>
          <w:szCs w:val="24"/>
        </w:rPr>
      </w:pPr>
      <w:r w:rsidRPr="00333492">
        <w:rPr>
          <w:szCs w:val="24"/>
        </w:rPr>
        <w:t xml:space="preserve">Középtávon a pesszimista forgatókönyv (RCP 8.5) alapján </w:t>
      </w:r>
      <w:r w:rsidR="00130428" w:rsidRPr="00333492">
        <w:rPr>
          <w:szCs w:val="24"/>
        </w:rPr>
        <w:t>a hazai nagy távhőkörzetek közepes éghajlati kitettségi kategóriába kerülhetnek. Kivételt több budapesti és szegedi körzet képezhet majd.</w:t>
      </w:r>
      <w:r w:rsidRPr="00333492">
        <w:rPr>
          <w:szCs w:val="24"/>
        </w:rPr>
        <w:t xml:space="preserve"> Erősen kitett </w:t>
      </w:r>
      <w:r w:rsidR="00130428" w:rsidRPr="00333492">
        <w:rPr>
          <w:szCs w:val="24"/>
        </w:rPr>
        <w:t xml:space="preserve">távhőkörzet </w:t>
      </w:r>
      <w:r w:rsidRPr="00333492">
        <w:rPr>
          <w:szCs w:val="24"/>
        </w:rPr>
        <w:t xml:space="preserve">középtávon a regionális modellek és forgatókönyveik alapján nem jelezhető előre. </w:t>
      </w:r>
    </w:p>
    <w:p w14:paraId="08AF7D30" w14:textId="77777777" w:rsidR="009B3E43" w:rsidRPr="00333492" w:rsidRDefault="009B3E43" w:rsidP="00333492">
      <w:pPr>
        <w:pStyle w:val="Listaszerbekezds"/>
        <w:numPr>
          <w:ilvl w:val="0"/>
          <w:numId w:val="28"/>
        </w:numPr>
        <w:rPr>
          <w:szCs w:val="24"/>
        </w:rPr>
      </w:pPr>
      <w:r w:rsidRPr="00333492">
        <w:rPr>
          <w:szCs w:val="24"/>
        </w:rPr>
        <w:lastRenderedPageBreak/>
        <w:t xml:space="preserve">A hosszútávú klimatológiai változásokat megjelenítő modellek esetén az optimista forgatókönyv (RCP 4.5) szerint </w:t>
      </w:r>
      <w:r w:rsidR="00130428" w:rsidRPr="00333492">
        <w:rPr>
          <w:szCs w:val="24"/>
        </w:rPr>
        <w:t>a távhőkörzetek</w:t>
      </w:r>
      <w:r w:rsidRPr="00333492">
        <w:rPr>
          <w:szCs w:val="24"/>
        </w:rPr>
        <w:t xml:space="preserve"> döntő többsége </w:t>
      </w:r>
      <w:r w:rsidR="00130428" w:rsidRPr="00333492">
        <w:rPr>
          <w:szCs w:val="24"/>
        </w:rPr>
        <w:t xml:space="preserve">(két kivétellel) a </w:t>
      </w:r>
      <w:r w:rsidRPr="00333492">
        <w:rPr>
          <w:szCs w:val="24"/>
        </w:rPr>
        <w:t>közepesen kitett kategóriába esik ma</w:t>
      </w:r>
      <w:r w:rsidR="00130428" w:rsidRPr="00333492">
        <w:rPr>
          <w:szCs w:val="24"/>
        </w:rPr>
        <w:t>jd valószínűleg. Erősen kitett távhőkörzet</w:t>
      </w:r>
      <w:r w:rsidRPr="00333492">
        <w:rPr>
          <w:szCs w:val="24"/>
        </w:rPr>
        <w:t xml:space="preserve"> ez esetben sem jelezhető előre. </w:t>
      </w:r>
    </w:p>
    <w:p w14:paraId="37EABC0D" w14:textId="77777777" w:rsidR="009B3E43" w:rsidRPr="00333492" w:rsidRDefault="009B3E43" w:rsidP="00333492">
      <w:pPr>
        <w:pStyle w:val="Listaszerbekezds"/>
        <w:numPr>
          <w:ilvl w:val="0"/>
          <w:numId w:val="28"/>
        </w:numPr>
        <w:rPr>
          <w:szCs w:val="24"/>
        </w:rPr>
      </w:pPr>
      <w:r w:rsidRPr="00333492">
        <w:rPr>
          <w:szCs w:val="24"/>
        </w:rPr>
        <w:t>A pesszimis</w:t>
      </w:r>
      <w:r w:rsidR="00130428" w:rsidRPr="00333492">
        <w:rPr>
          <w:szCs w:val="24"/>
        </w:rPr>
        <w:t xml:space="preserve">ta forgatókönyv hosszútávú </w:t>
      </w:r>
      <w:r w:rsidRPr="00333492">
        <w:rPr>
          <w:szCs w:val="24"/>
        </w:rPr>
        <w:t>modellezése</w:t>
      </w:r>
      <w:r w:rsidR="00130428" w:rsidRPr="00333492">
        <w:rPr>
          <w:szCs w:val="24"/>
        </w:rPr>
        <w:t>i</w:t>
      </w:r>
      <w:r w:rsidRPr="00333492">
        <w:rPr>
          <w:szCs w:val="24"/>
        </w:rPr>
        <w:t xml:space="preserve"> alapján viszont kijelenthető, hogy számos </w:t>
      </w:r>
      <w:r w:rsidR="00130428" w:rsidRPr="00333492">
        <w:rPr>
          <w:szCs w:val="24"/>
        </w:rPr>
        <w:t>távhőkörzet</w:t>
      </w:r>
      <w:r w:rsidRPr="00333492">
        <w:rPr>
          <w:szCs w:val="24"/>
        </w:rPr>
        <w:t xml:space="preserve"> a közepesen kitett kategóriába kerülhet, de </w:t>
      </w:r>
      <w:r w:rsidR="00130428" w:rsidRPr="00333492">
        <w:rPr>
          <w:szCs w:val="24"/>
        </w:rPr>
        <w:t>néhány város (például Kaposvár, Pécs, Tiszaújváros, Veszprém)</w:t>
      </w:r>
      <w:r w:rsidRPr="00333492">
        <w:rPr>
          <w:szCs w:val="24"/>
        </w:rPr>
        <w:t xml:space="preserve"> az erősen kitett kategóriába kerül várhatóan. Kevéssé kitett kategória </w:t>
      </w:r>
      <w:r w:rsidR="00130428" w:rsidRPr="00333492">
        <w:rPr>
          <w:szCs w:val="24"/>
        </w:rPr>
        <w:t>Budapesten és Szegeden várható a modellek</w:t>
      </w:r>
      <w:r w:rsidRPr="00333492">
        <w:rPr>
          <w:szCs w:val="24"/>
        </w:rPr>
        <w:t xml:space="preserve"> alapján</w:t>
      </w:r>
      <w:r w:rsidR="00130428" w:rsidRPr="00333492">
        <w:rPr>
          <w:szCs w:val="24"/>
        </w:rPr>
        <w:t xml:space="preserve"> az öt paraméter alapján</w:t>
      </w:r>
      <w:r w:rsidRPr="00333492">
        <w:rPr>
          <w:szCs w:val="24"/>
        </w:rPr>
        <w:t xml:space="preserve">. </w:t>
      </w:r>
    </w:p>
    <w:p w14:paraId="06BBA33E" w14:textId="77777777" w:rsidR="00C46733" w:rsidRPr="00333492" w:rsidRDefault="00C46733" w:rsidP="00333492"/>
    <w:p w14:paraId="464FCBC1" w14:textId="77777777" w:rsidR="00C46733" w:rsidRPr="00592227" w:rsidRDefault="00C46733" w:rsidP="00592227">
      <w:pPr>
        <w:pStyle w:val="TJ3"/>
        <w:ind w:left="0"/>
        <w:jc w:val="center"/>
        <w:rPr>
          <w:sz w:val="22"/>
          <w:szCs w:val="22"/>
        </w:rPr>
      </w:pPr>
      <w:r w:rsidRPr="00592227">
        <w:rPr>
          <w:noProof/>
          <w:sz w:val="22"/>
          <w:szCs w:val="22"/>
          <w:lang w:eastAsia="hu-HU"/>
          <w14:ligatures w14:val="none"/>
        </w:rPr>
        <w:drawing>
          <wp:inline distT="0" distB="0" distL="0" distR="0" wp14:anchorId="3937D455" wp14:editId="2DD995ED">
            <wp:extent cx="5760720" cy="4570730"/>
            <wp:effectExtent l="0" t="0" r="0" b="127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vho_egh_komplex_allo_kor_felirattal_2309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4570730"/>
                    </a:xfrm>
                    <a:prstGeom prst="rect">
                      <a:avLst/>
                    </a:prstGeom>
                  </pic:spPr>
                </pic:pic>
              </a:graphicData>
            </a:graphic>
          </wp:inline>
        </w:drawing>
      </w:r>
    </w:p>
    <w:p w14:paraId="046BFF13" w14:textId="77777777" w:rsidR="00502B30" w:rsidRPr="00592227" w:rsidRDefault="00B026E6" w:rsidP="00592227">
      <w:pPr>
        <w:ind w:firstLine="0"/>
        <w:jc w:val="center"/>
        <w:rPr>
          <w:i/>
          <w:sz w:val="22"/>
          <w:szCs w:val="22"/>
        </w:rPr>
      </w:pPr>
      <w:r w:rsidRPr="00592227">
        <w:rPr>
          <w:b/>
          <w:i/>
          <w:sz w:val="22"/>
          <w:szCs w:val="22"/>
        </w:rPr>
        <w:t>21.</w:t>
      </w:r>
      <w:r w:rsidR="00502B30" w:rsidRPr="00592227">
        <w:rPr>
          <w:b/>
          <w:i/>
          <w:sz w:val="22"/>
          <w:szCs w:val="22"/>
        </w:rPr>
        <w:t xml:space="preserve"> ábra</w:t>
      </w:r>
      <w:r w:rsidR="0011518A" w:rsidRPr="00592227">
        <w:rPr>
          <w:i/>
          <w:sz w:val="22"/>
          <w:szCs w:val="22"/>
        </w:rPr>
        <w:t xml:space="preserve"> A</w:t>
      </w:r>
      <w:r w:rsidR="00502B30" w:rsidRPr="00592227">
        <w:rPr>
          <w:i/>
          <w:sz w:val="22"/>
          <w:szCs w:val="22"/>
        </w:rPr>
        <w:t xml:space="preserve"> nagy hőkiadású távhőkörzetek várható éghajlati kitettségi besorolása közép- és hosszútávon az optimista és a pesszimista forgatókönyvek alapján</w:t>
      </w:r>
    </w:p>
    <w:p w14:paraId="5C8C6B09" w14:textId="77777777" w:rsidR="00502B30" w:rsidRPr="00592227" w:rsidRDefault="00502B30" w:rsidP="00592227"/>
    <w:p w14:paraId="423FE551" w14:textId="77777777" w:rsidR="00130428" w:rsidRPr="00592227" w:rsidRDefault="00130428" w:rsidP="00592227">
      <w:r w:rsidRPr="00592227">
        <w:t>A nagy hőkiadású távhőkörzetek jelenbeli földtani kitettsége viszonylag homogén képet mutat. A komplex, 10 sekélyföldtani mutató jellemzőit magába foglaló pontozás alapján a legtöbb város a közepesen kitett kategóriába került. Kivételt hat budapesti és három vidéki körzet képez, amelyek például a kedvezőbb kőzetállékonysági besorolás</w:t>
      </w:r>
      <w:r w:rsidR="00502B30" w:rsidRPr="00592227">
        <w:t xml:space="preserve"> és az üregbeszakadási veszély</w:t>
      </w:r>
      <w:r w:rsidR="00D32D4B" w:rsidRPr="00592227">
        <w:t>ezte</w:t>
      </w:r>
      <w:r w:rsidR="00502B30" w:rsidRPr="00592227">
        <w:t>tettség hiánya</w:t>
      </w:r>
      <w:r w:rsidRPr="00592227">
        <w:t xml:space="preserve"> alapján a kevéssé kitett kategóriába kerültek (például: </w:t>
      </w:r>
      <w:r w:rsidR="00502B30" w:rsidRPr="00592227">
        <w:t>Miskolc-Avas, Pécs, Veszprém-Haszkovó</w:t>
      </w:r>
      <w:r w:rsidRPr="00592227">
        <w:t>)</w:t>
      </w:r>
      <w:r w:rsidR="00502B30" w:rsidRPr="00592227">
        <w:t>.</w:t>
      </w:r>
      <w:r w:rsidRPr="00592227">
        <w:t xml:space="preserve">  </w:t>
      </w:r>
      <w:r w:rsidR="00502B30" w:rsidRPr="00592227">
        <w:t>Erősen kitett távhőkörzet a besorolás alapján nincsen.</w:t>
      </w:r>
    </w:p>
    <w:p w14:paraId="3382A365" w14:textId="77777777" w:rsidR="00130428" w:rsidRPr="00592227" w:rsidRDefault="00130428" w:rsidP="00130428"/>
    <w:p w14:paraId="5C71F136" w14:textId="77777777" w:rsidR="00C46733" w:rsidRPr="00592227" w:rsidRDefault="00C46733" w:rsidP="00592227">
      <w:pPr>
        <w:ind w:firstLine="0"/>
        <w:jc w:val="center"/>
        <w:rPr>
          <w:sz w:val="22"/>
          <w:szCs w:val="22"/>
        </w:rPr>
      </w:pPr>
      <w:r w:rsidRPr="00592227">
        <w:rPr>
          <w:noProof/>
          <w:sz w:val="22"/>
          <w:szCs w:val="22"/>
          <w:lang w:eastAsia="hu-HU"/>
          <w14:ligatures w14:val="none"/>
        </w:rPr>
        <w:lastRenderedPageBreak/>
        <w:drawing>
          <wp:inline distT="0" distB="0" distL="0" distR="0" wp14:anchorId="0F595ECC" wp14:editId="72966656">
            <wp:extent cx="5760720" cy="3728720"/>
            <wp:effectExtent l="0" t="0" r="0" b="508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vho_fdt_komplex_kor_23082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3728720"/>
                    </a:xfrm>
                    <a:prstGeom prst="rect">
                      <a:avLst/>
                    </a:prstGeom>
                  </pic:spPr>
                </pic:pic>
              </a:graphicData>
            </a:graphic>
          </wp:inline>
        </w:drawing>
      </w:r>
    </w:p>
    <w:p w14:paraId="1D9D0BD9" w14:textId="77777777" w:rsidR="00502B30" w:rsidRPr="00592227" w:rsidRDefault="00B026E6" w:rsidP="00592227">
      <w:pPr>
        <w:ind w:firstLine="0"/>
        <w:jc w:val="center"/>
        <w:rPr>
          <w:i/>
          <w:sz w:val="22"/>
          <w:szCs w:val="22"/>
        </w:rPr>
      </w:pPr>
      <w:r w:rsidRPr="00592227">
        <w:rPr>
          <w:b/>
          <w:i/>
          <w:sz w:val="22"/>
          <w:szCs w:val="22"/>
        </w:rPr>
        <w:t>22</w:t>
      </w:r>
      <w:r w:rsidR="00502B30" w:rsidRPr="00592227">
        <w:rPr>
          <w:b/>
          <w:i/>
          <w:sz w:val="22"/>
          <w:szCs w:val="22"/>
        </w:rPr>
        <w:t>. ábra</w:t>
      </w:r>
      <w:r w:rsidR="00502B30" w:rsidRPr="00592227">
        <w:rPr>
          <w:i/>
          <w:sz w:val="22"/>
          <w:szCs w:val="22"/>
        </w:rPr>
        <w:t xml:space="preserve"> A nagy hőkiadású távhőkörzetek földtani kitettségi besorolása a komplex földtani indikátor alapján</w:t>
      </w:r>
    </w:p>
    <w:p w14:paraId="62199465" w14:textId="77777777" w:rsidR="00502B30" w:rsidRPr="00592227" w:rsidRDefault="00502B30" w:rsidP="00592227"/>
    <w:p w14:paraId="65AA30FC" w14:textId="77777777" w:rsidR="00A21A0B" w:rsidRPr="00592227" w:rsidRDefault="003F4791" w:rsidP="006D5975">
      <w:pPr>
        <w:pStyle w:val="Cmsor2"/>
      </w:pPr>
      <w:bookmarkStart w:id="27" w:name="_Toc147484209"/>
      <w:r w:rsidRPr="00592227">
        <w:t>9.3.</w:t>
      </w:r>
      <w:r w:rsidR="00A21A0B" w:rsidRPr="00592227">
        <w:t xml:space="preserve"> </w:t>
      </w:r>
      <w:r w:rsidR="00502B30" w:rsidRPr="00592227">
        <w:t>A távhőkörzetek érzékenységi adottságai</w:t>
      </w:r>
      <w:bookmarkEnd w:id="27"/>
    </w:p>
    <w:p w14:paraId="2C460E24" w14:textId="77777777" w:rsidR="00502B30" w:rsidRPr="00DE357F" w:rsidRDefault="00502B30" w:rsidP="00502B30">
      <w:pPr>
        <w:rPr>
          <w:szCs w:val="24"/>
        </w:rPr>
      </w:pPr>
      <w:r w:rsidRPr="00DE357F">
        <w:rPr>
          <w:szCs w:val="24"/>
        </w:rPr>
        <w:t xml:space="preserve">A távhőkörzetek távvezetékeinek érzékenységi besorolását több eltérő, de számszerűsíthető adottság komplex pontozásos besorolása alapján hoztuk létre. </w:t>
      </w:r>
    </w:p>
    <w:p w14:paraId="48AB02C1" w14:textId="77777777" w:rsidR="00502B30" w:rsidRPr="00DE357F" w:rsidRDefault="00502B30" w:rsidP="00502B30">
      <w:pPr>
        <w:rPr>
          <w:szCs w:val="24"/>
        </w:rPr>
      </w:pPr>
      <w:r w:rsidRPr="00DE357F">
        <w:rPr>
          <w:szCs w:val="24"/>
        </w:rPr>
        <w:t>Példaként közöljük azt a 4 jellemző paramétert, amelyek segítségével a végső érzékenységi pontszámot kialakítottuk</w:t>
      </w:r>
      <w:r w:rsidR="00D32D4B" w:rsidRPr="00DE357F">
        <w:rPr>
          <w:szCs w:val="24"/>
        </w:rPr>
        <w:t xml:space="preserve"> (4. táblázat)</w:t>
      </w:r>
      <w:r w:rsidRPr="00DE357F">
        <w:rPr>
          <w:szCs w:val="24"/>
        </w:rPr>
        <w:t xml:space="preserve">. Ebből a számítások során módosítanunk kellett a </w:t>
      </w:r>
      <w:r w:rsidRPr="00DE357F">
        <w:rPr>
          <w:b/>
          <w:i/>
          <w:color w:val="000000"/>
          <w:kern w:val="0"/>
          <w:szCs w:val="24"/>
          <w14:ligatures w14:val="none"/>
        </w:rPr>
        <w:t>V</w:t>
      </w:r>
      <w:r w:rsidRPr="00DE357F">
        <w:rPr>
          <w:rFonts w:eastAsia="Calibri"/>
          <w:b/>
          <w:i/>
          <w:color w:val="000000"/>
          <w:kern w:val="0"/>
          <w:szCs w:val="24"/>
          <w:lang w:eastAsia="hu-HU"/>
          <w14:ligatures w14:val="none"/>
        </w:rPr>
        <w:t>ezetékek</w:t>
      </w:r>
      <w:r w:rsidRPr="00DE357F">
        <w:rPr>
          <w:b/>
          <w:i/>
          <w:color w:val="000000"/>
          <w:kern w:val="0"/>
          <w:szCs w:val="24"/>
          <w14:ligatures w14:val="none"/>
        </w:rPr>
        <w:t xml:space="preserve"> védettségi</w:t>
      </w:r>
      <w:r w:rsidRPr="00DE357F">
        <w:rPr>
          <w:rFonts w:eastAsia="Calibri"/>
          <w:b/>
          <w:i/>
          <w:color w:val="000000"/>
          <w:kern w:val="0"/>
          <w:szCs w:val="24"/>
          <w:lang w:eastAsia="hu-HU"/>
          <w14:ligatures w14:val="none"/>
        </w:rPr>
        <w:t xml:space="preserve"> típusa</w:t>
      </w:r>
      <w:r w:rsidRPr="00DE357F">
        <w:rPr>
          <w:b/>
          <w:i/>
          <w:color w:val="000000"/>
          <w:kern w:val="0"/>
          <w:szCs w:val="24"/>
          <w14:ligatures w14:val="none"/>
        </w:rPr>
        <w:t xml:space="preserve"> hosszukkal súlyozva</w:t>
      </w:r>
      <w:r w:rsidRPr="00DE357F">
        <w:rPr>
          <w:szCs w:val="24"/>
        </w:rPr>
        <w:t xml:space="preserve"> kategória pontozásos besorolását a módszertani tanulmányhoz képest. A végső jelzőlámpa kategóriákat (max. 12 pont) is alább közöljük. A további mutatóképzési eljárásokról lásd a módszertani tanulmány vonatkozó alfejezetét.</w:t>
      </w:r>
    </w:p>
    <w:p w14:paraId="4C4CEA3D" w14:textId="77777777" w:rsidR="00502B30" w:rsidRPr="00DE357F" w:rsidRDefault="00502B30" w:rsidP="00502B30">
      <w:pPr>
        <w:rPr>
          <w:szCs w:val="24"/>
        </w:rPr>
      </w:pPr>
    </w:p>
    <w:tbl>
      <w:tblPr>
        <w:tblStyle w:val="3"/>
        <w:tblW w:w="949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08"/>
        <w:gridCol w:w="992"/>
        <w:gridCol w:w="2268"/>
        <w:gridCol w:w="1423"/>
        <w:gridCol w:w="1134"/>
        <w:gridCol w:w="2268"/>
      </w:tblGrid>
      <w:tr w:rsidR="00333492" w:rsidRPr="00333492" w14:paraId="03BC29BD" w14:textId="0747FC57" w:rsidTr="0018763A">
        <w:trPr>
          <w:trHeight w:val="315"/>
          <w:jc w:val="center"/>
        </w:trPr>
        <w:tc>
          <w:tcPr>
            <w:tcW w:w="4668" w:type="dxa"/>
            <w:gridSpan w:val="3"/>
            <w:tcBorders>
              <w:right w:val="double" w:sz="4" w:space="0" w:color="auto"/>
            </w:tcBorders>
            <w:shd w:val="clear" w:color="auto" w:fill="auto"/>
            <w:vAlign w:val="center"/>
          </w:tcPr>
          <w:p w14:paraId="4E031F5D" w14:textId="77777777" w:rsidR="00333492" w:rsidRPr="00333492" w:rsidRDefault="00333492" w:rsidP="00CA4BF9">
            <w:pPr>
              <w:widowControl/>
              <w:ind w:firstLine="0"/>
              <w:jc w:val="center"/>
              <w:rPr>
                <w:b/>
                <w:i/>
                <w:color w:val="000000"/>
                <w:kern w:val="0"/>
                <w:sz w:val="20"/>
                <w14:ligatures w14:val="none"/>
              </w:rPr>
            </w:pPr>
            <w:r w:rsidRPr="00333492">
              <w:rPr>
                <w:b/>
                <w:i/>
                <w:color w:val="000000"/>
                <w:kern w:val="0"/>
                <w:sz w:val="20"/>
                <w14:ligatures w14:val="none"/>
              </w:rPr>
              <w:t>Távhőrendszer hővesztesége (%) 2019</w:t>
            </w:r>
          </w:p>
        </w:tc>
        <w:tc>
          <w:tcPr>
            <w:tcW w:w="4825" w:type="dxa"/>
            <w:gridSpan w:val="3"/>
            <w:tcBorders>
              <w:left w:val="double" w:sz="4" w:space="0" w:color="auto"/>
            </w:tcBorders>
            <w:vAlign w:val="center"/>
          </w:tcPr>
          <w:p w14:paraId="26BAB449" w14:textId="6557A4CB" w:rsidR="00333492" w:rsidRPr="00333492" w:rsidRDefault="00333492" w:rsidP="00CA4BF9">
            <w:pPr>
              <w:widowControl/>
              <w:ind w:firstLine="0"/>
              <w:jc w:val="center"/>
              <w:rPr>
                <w:b/>
                <w:i/>
                <w:color w:val="000000"/>
                <w:kern w:val="0"/>
                <w:sz w:val="20"/>
                <w14:ligatures w14:val="none"/>
              </w:rPr>
            </w:pPr>
            <w:r w:rsidRPr="00333492">
              <w:rPr>
                <w:b/>
                <w:i/>
                <w:color w:val="000000"/>
                <w:kern w:val="0"/>
                <w:sz w:val="20"/>
                <w14:ligatures w14:val="none"/>
              </w:rPr>
              <w:t>Életkor és hossz súlyozott aránya 2019</w:t>
            </w:r>
          </w:p>
        </w:tc>
      </w:tr>
      <w:tr w:rsidR="00333492" w:rsidRPr="00333492" w14:paraId="6C0B072C" w14:textId="3E3394B8" w:rsidTr="0018763A">
        <w:trPr>
          <w:trHeight w:val="330"/>
          <w:jc w:val="center"/>
        </w:trPr>
        <w:tc>
          <w:tcPr>
            <w:tcW w:w="1408" w:type="dxa"/>
            <w:shd w:val="clear" w:color="auto" w:fill="auto"/>
            <w:vAlign w:val="center"/>
          </w:tcPr>
          <w:p w14:paraId="52C14E8F" w14:textId="77777777" w:rsidR="00333492" w:rsidRPr="00333492" w:rsidRDefault="00333492" w:rsidP="0018763A">
            <w:pPr>
              <w:widowControl/>
              <w:ind w:firstLine="0"/>
              <w:jc w:val="center"/>
              <w:rPr>
                <w:b/>
                <w:color w:val="000000"/>
                <w:kern w:val="0"/>
                <w:sz w:val="20"/>
                <w14:ligatures w14:val="none"/>
              </w:rPr>
            </w:pPr>
            <w:r w:rsidRPr="00333492">
              <w:rPr>
                <w:b/>
                <w:color w:val="000000"/>
                <w:kern w:val="0"/>
                <w:sz w:val="20"/>
                <w14:ligatures w14:val="none"/>
              </w:rPr>
              <w:t>Osztályközök</w:t>
            </w:r>
          </w:p>
        </w:tc>
        <w:tc>
          <w:tcPr>
            <w:tcW w:w="992" w:type="dxa"/>
            <w:shd w:val="clear" w:color="auto" w:fill="auto"/>
            <w:vAlign w:val="center"/>
          </w:tcPr>
          <w:p w14:paraId="2DE4D9CA" w14:textId="77777777" w:rsidR="00333492" w:rsidRPr="00333492" w:rsidRDefault="00333492" w:rsidP="0018763A">
            <w:pPr>
              <w:widowControl/>
              <w:ind w:firstLine="0"/>
              <w:jc w:val="center"/>
              <w:rPr>
                <w:b/>
                <w:color w:val="000000"/>
                <w:kern w:val="0"/>
                <w:sz w:val="20"/>
                <w14:ligatures w14:val="none"/>
              </w:rPr>
            </w:pPr>
            <w:r w:rsidRPr="00333492">
              <w:rPr>
                <w:b/>
                <w:color w:val="000000"/>
                <w:kern w:val="0"/>
                <w:sz w:val="20"/>
                <w14:ligatures w14:val="none"/>
              </w:rPr>
              <w:t>Pontszám</w:t>
            </w:r>
          </w:p>
        </w:tc>
        <w:tc>
          <w:tcPr>
            <w:tcW w:w="2268" w:type="dxa"/>
            <w:tcBorders>
              <w:right w:val="double" w:sz="4" w:space="0" w:color="auto"/>
            </w:tcBorders>
            <w:shd w:val="clear" w:color="auto" w:fill="auto"/>
            <w:vAlign w:val="center"/>
          </w:tcPr>
          <w:p w14:paraId="256EBF68" w14:textId="77777777" w:rsidR="00333492" w:rsidRPr="00333492" w:rsidRDefault="00333492" w:rsidP="0018763A">
            <w:pPr>
              <w:widowControl/>
              <w:ind w:firstLine="0"/>
              <w:jc w:val="center"/>
              <w:rPr>
                <w:b/>
                <w:color w:val="000000"/>
                <w:kern w:val="0"/>
                <w:sz w:val="20"/>
                <w14:ligatures w14:val="none"/>
              </w:rPr>
            </w:pPr>
            <w:r w:rsidRPr="00333492">
              <w:rPr>
                <w:b/>
                <w:color w:val="000000"/>
                <w:kern w:val="0"/>
                <w:sz w:val="20"/>
                <w14:ligatures w14:val="none"/>
              </w:rPr>
              <w:t>Érzékenységi kategória</w:t>
            </w:r>
          </w:p>
        </w:tc>
        <w:tc>
          <w:tcPr>
            <w:tcW w:w="1423" w:type="dxa"/>
            <w:tcBorders>
              <w:left w:val="double" w:sz="4" w:space="0" w:color="auto"/>
            </w:tcBorders>
            <w:vAlign w:val="center"/>
          </w:tcPr>
          <w:p w14:paraId="5BDD3DA5" w14:textId="5917E862" w:rsidR="00333492" w:rsidRPr="00333492" w:rsidRDefault="00333492" w:rsidP="0018763A">
            <w:pPr>
              <w:widowControl/>
              <w:ind w:firstLine="0"/>
              <w:jc w:val="center"/>
              <w:rPr>
                <w:b/>
                <w:color w:val="000000"/>
                <w:kern w:val="0"/>
                <w:sz w:val="20"/>
                <w14:ligatures w14:val="none"/>
              </w:rPr>
            </w:pPr>
            <w:r w:rsidRPr="00333492">
              <w:rPr>
                <w:b/>
                <w:color w:val="000000"/>
                <w:kern w:val="0"/>
                <w:sz w:val="20"/>
                <w14:ligatures w14:val="none"/>
              </w:rPr>
              <w:t>Osztályközök</w:t>
            </w:r>
          </w:p>
        </w:tc>
        <w:tc>
          <w:tcPr>
            <w:tcW w:w="1134" w:type="dxa"/>
            <w:vAlign w:val="center"/>
          </w:tcPr>
          <w:p w14:paraId="1E210FAB" w14:textId="053ADB56" w:rsidR="00333492" w:rsidRPr="00333492" w:rsidRDefault="00333492" w:rsidP="0018763A">
            <w:pPr>
              <w:widowControl/>
              <w:ind w:firstLine="0"/>
              <w:jc w:val="center"/>
              <w:rPr>
                <w:b/>
                <w:color w:val="000000"/>
                <w:kern w:val="0"/>
                <w:sz w:val="20"/>
                <w14:ligatures w14:val="none"/>
              </w:rPr>
            </w:pPr>
            <w:r w:rsidRPr="00333492">
              <w:rPr>
                <w:b/>
                <w:color w:val="000000"/>
                <w:kern w:val="0"/>
                <w:sz w:val="20"/>
                <w14:ligatures w14:val="none"/>
              </w:rPr>
              <w:t>Pontszám</w:t>
            </w:r>
          </w:p>
        </w:tc>
        <w:tc>
          <w:tcPr>
            <w:tcW w:w="2268" w:type="dxa"/>
            <w:vAlign w:val="center"/>
          </w:tcPr>
          <w:p w14:paraId="5192DBE0" w14:textId="3DFD1CA7" w:rsidR="00333492" w:rsidRPr="00333492" w:rsidRDefault="00333492" w:rsidP="0018763A">
            <w:pPr>
              <w:widowControl/>
              <w:ind w:firstLine="0"/>
              <w:jc w:val="center"/>
              <w:rPr>
                <w:b/>
                <w:color w:val="000000"/>
                <w:kern w:val="0"/>
                <w:sz w:val="20"/>
                <w14:ligatures w14:val="none"/>
              </w:rPr>
            </w:pPr>
            <w:r w:rsidRPr="00333492">
              <w:rPr>
                <w:b/>
                <w:color w:val="000000"/>
                <w:kern w:val="0"/>
                <w:sz w:val="20"/>
                <w14:ligatures w14:val="none"/>
              </w:rPr>
              <w:t>Érzékenységi kategória</w:t>
            </w:r>
          </w:p>
        </w:tc>
      </w:tr>
      <w:tr w:rsidR="00333492" w:rsidRPr="00333492" w14:paraId="690FDC84" w14:textId="63152FA7" w:rsidTr="0018763A">
        <w:trPr>
          <w:trHeight w:val="315"/>
          <w:jc w:val="center"/>
        </w:trPr>
        <w:tc>
          <w:tcPr>
            <w:tcW w:w="1408" w:type="dxa"/>
            <w:shd w:val="clear" w:color="auto" w:fill="auto"/>
            <w:vAlign w:val="center"/>
          </w:tcPr>
          <w:p w14:paraId="15D5BEFB" w14:textId="77777777" w:rsidR="00333492" w:rsidRPr="00333492" w:rsidRDefault="00333492" w:rsidP="00333492">
            <w:pPr>
              <w:widowControl/>
              <w:ind w:firstLine="0"/>
              <w:jc w:val="center"/>
              <w:rPr>
                <w:color w:val="000000"/>
                <w:kern w:val="0"/>
                <w:sz w:val="20"/>
                <w14:ligatures w14:val="none"/>
              </w:rPr>
            </w:pPr>
            <w:r w:rsidRPr="00333492">
              <w:rPr>
                <w:color w:val="000000"/>
                <w:kern w:val="0"/>
                <w:sz w:val="20"/>
                <w14:ligatures w14:val="none"/>
              </w:rPr>
              <w:t>0-9,99</w:t>
            </w:r>
          </w:p>
        </w:tc>
        <w:tc>
          <w:tcPr>
            <w:tcW w:w="992" w:type="dxa"/>
            <w:shd w:val="clear" w:color="auto" w:fill="auto"/>
            <w:vAlign w:val="center"/>
          </w:tcPr>
          <w:p w14:paraId="649841BE" w14:textId="77777777" w:rsidR="00333492" w:rsidRPr="00333492" w:rsidRDefault="00333492" w:rsidP="00333492">
            <w:pPr>
              <w:widowControl/>
              <w:ind w:firstLine="0"/>
              <w:jc w:val="right"/>
              <w:rPr>
                <w:color w:val="000000"/>
                <w:kern w:val="0"/>
                <w:sz w:val="20"/>
                <w14:ligatures w14:val="none"/>
              </w:rPr>
            </w:pPr>
            <w:r w:rsidRPr="00333492">
              <w:rPr>
                <w:color w:val="000000"/>
                <w:kern w:val="0"/>
                <w:sz w:val="20"/>
                <w14:ligatures w14:val="none"/>
              </w:rPr>
              <w:t>1</w:t>
            </w:r>
          </w:p>
        </w:tc>
        <w:tc>
          <w:tcPr>
            <w:tcW w:w="2268" w:type="dxa"/>
            <w:tcBorders>
              <w:right w:val="double" w:sz="4" w:space="0" w:color="auto"/>
            </w:tcBorders>
            <w:shd w:val="clear" w:color="auto" w:fill="70AD47"/>
            <w:vAlign w:val="center"/>
          </w:tcPr>
          <w:p w14:paraId="1AEAD64C" w14:textId="77777777"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kevésbé érzékeny</w:t>
            </w:r>
          </w:p>
        </w:tc>
        <w:tc>
          <w:tcPr>
            <w:tcW w:w="1423" w:type="dxa"/>
            <w:tcBorders>
              <w:left w:val="double" w:sz="4" w:space="0" w:color="auto"/>
            </w:tcBorders>
            <w:shd w:val="clear" w:color="auto" w:fill="auto"/>
            <w:vAlign w:val="center"/>
          </w:tcPr>
          <w:p w14:paraId="3ED2081D" w14:textId="2EBF6671"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100-166,6</w:t>
            </w:r>
          </w:p>
        </w:tc>
        <w:tc>
          <w:tcPr>
            <w:tcW w:w="1134" w:type="dxa"/>
            <w:shd w:val="clear" w:color="auto" w:fill="auto"/>
            <w:vAlign w:val="center"/>
          </w:tcPr>
          <w:p w14:paraId="3594A524" w14:textId="7FC9D4F0"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1</w:t>
            </w:r>
          </w:p>
        </w:tc>
        <w:tc>
          <w:tcPr>
            <w:tcW w:w="2268" w:type="dxa"/>
            <w:shd w:val="clear" w:color="auto" w:fill="70AD47"/>
            <w:vAlign w:val="center"/>
          </w:tcPr>
          <w:p w14:paraId="1A8E1056" w14:textId="7CFAFDDC"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kevéssé érzékeny</w:t>
            </w:r>
          </w:p>
        </w:tc>
      </w:tr>
      <w:tr w:rsidR="00333492" w:rsidRPr="00333492" w14:paraId="19344356" w14:textId="62BCC44D" w:rsidTr="0018763A">
        <w:trPr>
          <w:trHeight w:val="315"/>
          <w:jc w:val="center"/>
        </w:trPr>
        <w:tc>
          <w:tcPr>
            <w:tcW w:w="1408" w:type="dxa"/>
            <w:shd w:val="clear" w:color="auto" w:fill="auto"/>
            <w:vAlign w:val="center"/>
          </w:tcPr>
          <w:p w14:paraId="1B974A3E" w14:textId="77777777" w:rsidR="00333492" w:rsidRPr="00333492" w:rsidRDefault="00333492" w:rsidP="00333492">
            <w:pPr>
              <w:widowControl/>
              <w:ind w:firstLine="0"/>
              <w:jc w:val="center"/>
              <w:rPr>
                <w:color w:val="000000"/>
                <w:kern w:val="0"/>
                <w:sz w:val="20"/>
                <w14:ligatures w14:val="none"/>
              </w:rPr>
            </w:pPr>
            <w:r w:rsidRPr="00333492">
              <w:rPr>
                <w:color w:val="000000"/>
                <w:kern w:val="0"/>
                <w:sz w:val="20"/>
                <w14:ligatures w14:val="none"/>
              </w:rPr>
              <w:t>10-14,99</w:t>
            </w:r>
          </w:p>
        </w:tc>
        <w:tc>
          <w:tcPr>
            <w:tcW w:w="992" w:type="dxa"/>
            <w:shd w:val="clear" w:color="auto" w:fill="auto"/>
            <w:vAlign w:val="center"/>
          </w:tcPr>
          <w:p w14:paraId="18F999B5" w14:textId="77777777" w:rsidR="00333492" w:rsidRPr="00333492" w:rsidRDefault="00333492" w:rsidP="00333492">
            <w:pPr>
              <w:widowControl/>
              <w:ind w:firstLine="0"/>
              <w:jc w:val="right"/>
              <w:rPr>
                <w:color w:val="000000"/>
                <w:kern w:val="0"/>
                <w:sz w:val="20"/>
                <w14:ligatures w14:val="none"/>
              </w:rPr>
            </w:pPr>
            <w:r w:rsidRPr="00333492">
              <w:rPr>
                <w:color w:val="000000"/>
                <w:kern w:val="0"/>
                <w:sz w:val="20"/>
                <w14:ligatures w14:val="none"/>
              </w:rPr>
              <w:t>2</w:t>
            </w:r>
          </w:p>
        </w:tc>
        <w:tc>
          <w:tcPr>
            <w:tcW w:w="2268" w:type="dxa"/>
            <w:tcBorders>
              <w:right w:val="double" w:sz="4" w:space="0" w:color="auto"/>
            </w:tcBorders>
            <w:shd w:val="clear" w:color="auto" w:fill="FFFF00"/>
            <w:vAlign w:val="center"/>
          </w:tcPr>
          <w:p w14:paraId="3E1B9CBB" w14:textId="77777777"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közepesen érzékeny</w:t>
            </w:r>
          </w:p>
        </w:tc>
        <w:tc>
          <w:tcPr>
            <w:tcW w:w="1423" w:type="dxa"/>
            <w:tcBorders>
              <w:left w:val="double" w:sz="4" w:space="0" w:color="auto"/>
            </w:tcBorders>
            <w:shd w:val="clear" w:color="auto" w:fill="auto"/>
            <w:vAlign w:val="center"/>
          </w:tcPr>
          <w:p w14:paraId="7EC3BBC6" w14:textId="43E9D8BB"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166,6-233,3</w:t>
            </w:r>
          </w:p>
        </w:tc>
        <w:tc>
          <w:tcPr>
            <w:tcW w:w="1134" w:type="dxa"/>
            <w:shd w:val="clear" w:color="auto" w:fill="auto"/>
            <w:vAlign w:val="center"/>
          </w:tcPr>
          <w:p w14:paraId="00DEE877" w14:textId="7D2C68DA"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2</w:t>
            </w:r>
          </w:p>
        </w:tc>
        <w:tc>
          <w:tcPr>
            <w:tcW w:w="2268" w:type="dxa"/>
            <w:shd w:val="clear" w:color="auto" w:fill="FFFF00"/>
            <w:vAlign w:val="center"/>
          </w:tcPr>
          <w:p w14:paraId="36079A29" w14:textId="2BBF7B1E"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közepesen érzékeny</w:t>
            </w:r>
          </w:p>
        </w:tc>
      </w:tr>
      <w:tr w:rsidR="00333492" w:rsidRPr="00333492" w14:paraId="2A78A47D" w14:textId="7C389468" w:rsidTr="0018763A">
        <w:trPr>
          <w:trHeight w:val="330"/>
          <w:jc w:val="center"/>
        </w:trPr>
        <w:tc>
          <w:tcPr>
            <w:tcW w:w="1408" w:type="dxa"/>
            <w:tcBorders>
              <w:bottom w:val="double" w:sz="4" w:space="0" w:color="auto"/>
            </w:tcBorders>
            <w:shd w:val="clear" w:color="auto" w:fill="auto"/>
            <w:vAlign w:val="center"/>
          </w:tcPr>
          <w:p w14:paraId="4707B6A7" w14:textId="77777777" w:rsidR="00333492" w:rsidRPr="00333492" w:rsidRDefault="00333492" w:rsidP="00333492">
            <w:pPr>
              <w:widowControl/>
              <w:ind w:firstLine="0"/>
              <w:jc w:val="center"/>
              <w:rPr>
                <w:color w:val="000000"/>
                <w:kern w:val="0"/>
                <w:sz w:val="20"/>
                <w14:ligatures w14:val="none"/>
              </w:rPr>
            </w:pPr>
            <w:r w:rsidRPr="00333492">
              <w:rPr>
                <w:color w:val="000000"/>
                <w:kern w:val="0"/>
                <w:sz w:val="20"/>
                <w14:ligatures w14:val="none"/>
              </w:rPr>
              <w:t>15-</w:t>
            </w:r>
          </w:p>
        </w:tc>
        <w:tc>
          <w:tcPr>
            <w:tcW w:w="992" w:type="dxa"/>
            <w:tcBorders>
              <w:bottom w:val="double" w:sz="4" w:space="0" w:color="auto"/>
            </w:tcBorders>
            <w:shd w:val="clear" w:color="auto" w:fill="auto"/>
            <w:vAlign w:val="center"/>
          </w:tcPr>
          <w:p w14:paraId="5FCD5EC4" w14:textId="77777777" w:rsidR="00333492" w:rsidRPr="00333492" w:rsidRDefault="00333492" w:rsidP="00333492">
            <w:pPr>
              <w:widowControl/>
              <w:ind w:firstLine="0"/>
              <w:jc w:val="right"/>
              <w:rPr>
                <w:color w:val="000000"/>
                <w:kern w:val="0"/>
                <w:sz w:val="20"/>
                <w14:ligatures w14:val="none"/>
              </w:rPr>
            </w:pPr>
            <w:r w:rsidRPr="00333492">
              <w:rPr>
                <w:color w:val="000000"/>
                <w:kern w:val="0"/>
                <w:sz w:val="20"/>
                <w14:ligatures w14:val="none"/>
              </w:rPr>
              <w:t>3</w:t>
            </w:r>
          </w:p>
        </w:tc>
        <w:tc>
          <w:tcPr>
            <w:tcW w:w="2268" w:type="dxa"/>
            <w:tcBorders>
              <w:bottom w:val="double" w:sz="4" w:space="0" w:color="auto"/>
              <w:right w:val="double" w:sz="4" w:space="0" w:color="auto"/>
            </w:tcBorders>
            <w:shd w:val="clear" w:color="auto" w:fill="FF0000"/>
            <w:vAlign w:val="center"/>
          </w:tcPr>
          <w:p w14:paraId="2B199C27" w14:textId="77777777"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jelentősen érzékeny</w:t>
            </w:r>
          </w:p>
        </w:tc>
        <w:tc>
          <w:tcPr>
            <w:tcW w:w="1423" w:type="dxa"/>
            <w:tcBorders>
              <w:left w:val="double" w:sz="4" w:space="0" w:color="auto"/>
              <w:bottom w:val="double" w:sz="4" w:space="0" w:color="auto"/>
            </w:tcBorders>
            <w:shd w:val="clear" w:color="auto" w:fill="auto"/>
            <w:vAlign w:val="center"/>
          </w:tcPr>
          <w:p w14:paraId="21A25411" w14:textId="6BE2F48E"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233,4-</w:t>
            </w:r>
          </w:p>
        </w:tc>
        <w:tc>
          <w:tcPr>
            <w:tcW w:w="1134" w:type="dxa"/>
            <w:tcBorders>
              <w:bottom w:val="double" w:sz="4" w:space="0" w:color="auto"/>
            </w:tcBorders>
            <w:shd w:val="clear" w:color="auto" w:fill="auto"/>
            <w:vAlign w:val="center"/>
          </w:tcPr>
          <w:p w14:paraId="6EF6F645" w14:textId="7CCCD070"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3</w:t>
            </w:r>
          </w:p>
        </w:tc>
        <w:tc>
          <w:tcPr>
            <w:tcW w:w="2268" w:type="dxa"/>
            <w:tcBorders>
              <w:bottom w:val="double" w:sz="4" w:space="0" w:color="auto"/>
            </w:tcBorders>
            <w:shd w:val="clear" w:color="auto" w:fill="FF0000"/>
            <w:vAlign w:val="center"/>
          </w:tcPr>
          <w:p w14:paraId="6B7FD46F" w14:textId="58654568"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jelentősen érzékeny</w:t>
            </w:r>
          </w:p>
        </w:tc>
      </w:tr>
      <w:tr w:rsidR="00333492" w:rsidRPr="00333492" w14:paraId="13A6569E" w14:textId="39F77306" w:rsidTr="0018763A">
        <w:trPr>
          <w:trHeight w:val="315"/>
          <w:jc w:val="center"/>
        </w:trPr>
        <w:tc>
          <w:tcPr>
            <w:tcW w:w="4668" w:type="dxa"/>
            <w:gridSpan w:val="3"/>
            <w:tcBorders>
              <w:top w:val="double" w:sz="4" w:space="0" w:color="auto"/>
              <w:right w:val="double" w:sz="4" w:space="0" w:color="auto"/>
            </w:tcBorders>
            <w:shd w:val="clear" w:color="auto" w:fill="auto"/>
            <w:vAlign w:val="center"/>
          </w:tcPr>
          <w:p w14:paraId="2A66A85F" w14:textId="77777777" w:rsidR="00333492" w:rsidRPr="00333492" w:rsidRDefault="00333492" w:rsidP="00333492">
            <w:pPr>
              <w:widowControl/>
              <w:ind w:firstLine="0"/>
              <w:jc w:val="center"/>
              <w:rPr>
                <w:b/>
                <w:i/>
                <w:color w:val="000000"/>
                <w:kern w:val="0"/>
                <w:sz w:val="20"/>
                <w14:ligatures w14:val="none"/>
              </w:rPr>
            </w:pPr>
            <w:r w:rsidRPr="00333492">
              <w:rPr>
                <w:b/>
                <w:i/>
                <w:color w:val="000000"/>
                <w:kern w:val="0"/>
                <w:sz w:val="20"/>
                <w14:ligatures w14:val="none"/>
              </w:rPr>
              <w:t>Vezetékek védettségi típusa hosszukkal súlyozva 2019</w:t>
            </w:r>
          </w:p>
        </w:tc>
        <w:tc>
          <w:tcPr>
            <w:tcW w:w="4825" w:type="dxa"/>
            <w:gridSpan w:val="3"/>
            <w:tcBorders>
              <w:top w:val="double" w:sz="4" w:space="0" w:color="auto"/>
              <w:left w:val="double" w:sz="4" w:space="0" w:color="auto"/>
            </w:tcBorders>
            <w:vAlign w:val="center"/>
          </w:tcPr>
          <w:p w14:paraId="78E7E60E" w14:textId="7824D394" w:rsidR="00333492" w:rsidRPr="00333492" w:rsidRDefault="00333492" w:rsidP="00333492">
            <w:pPr>
              <w:widowControl/>
              <w:ind w:firstLine="0"/>
              <w:jc w:val="center"/>
              <w:rPr>
                <w:b/>
                <w:i/>
                <w:color w:val="000000"/>
                <w:kern w:val="0"/>
                <w:sz w:val="20"/>
                <w14:ligatures w14:val="none"/>
              </w:rPr>
            </w:pPr>
            <w:r w:rsidRPr="00333492">
              <w:rPr>
                <w:b/>
                <w:i/>
                <w:color w:val="000000"/>
                <w:kern w:val="0"/>
                <w:sz w:val="20"/>
                <w14:ligatures w14:val="none"/>
              </w:rPr>
              <w:t>Felszínfeletti vezetékek burkoltsága (5 % feletti arány esetén) 2019</w:t>
            </w:r>
          </w:p>
        </w:tc>
      </w:tr>
      <w:tr w:rsidR="00333492" w:rsidRPr="00333492" w14:paraId="1300FE05" w14:textId="5BFE2B6B" w:rsidTr="0018763A">
        <w:trPr>
          <w:trHeight w:val="330"/>
          <w:jc w:val="center"/>
        </w:trPr>
        <w:tc>
          <w:tcPr>
            <w:tcW w:w="1408" w:type="dxa"/>
            <w:shd w:val="clear" w:color="auto" w:fill="auto"/>
            <w:vAlign w:val="center"/>
          </w:tcPr>
          <w:p w14:paraId="6B5CDD6B" w14:textId="77777777" w:rsidR="00333492" w:rsidRPr="00333492" w:rsidRDefault="00333492" w:rsidP="0018763A">
            <w:pPr>
              <w:widowControl/>
              <w:ind w:firstLine="0"/>
              <w:jc w:val="center"/>
              <w:rPr>
                <w:b/>
                <w:color w:val="000000"/>
                <w:kern w:val="0"/>
                <w:sz w:val="20"/>
                <w14:ligatures w14:val="none"/>
              </w:rPr>
            </w:pPr>
            <w:r w:rsidRPr="00333492">
              <w:rPr>
                <w:b/>
                <w:color w:val="000000"/>
                <w:kern w:val="0"/>
                <w:sz w:val="20"/>
                <w14:ligatures w14:val="none"/>
              </w:rPr>
              <w:t>Osztályközök</w:t>
            </w:r>
          </w:p>
        </w:tc>
        <w:tc>
          <w:tcPr>
            <w:tcW w:w="992" w:type="dxa"/>
            <w:shd w:val="clear" w:color="auto" w:fill="auto"/>
            <w:vAlign w:val="center"/>
          </w:tcPr>
          <w:p w14:paraId="40552474" w14:textId="77777777" w:rsidR="00333492" w:rsidRPr="00333492" w:rsidRDefault="00333492" w:rsidP="0018763A">
            <w:pPr>
              <w:widowControl/>
              <w:ind w:firstLine="0"/>
              <w:jc w:val="center"/>
              <w:rPr>
                <w:b/>
                <w:color w:val="000000"/>
                <w:kern w:val="0"/>
                <w:sz w:val="20"/>
                <w14:ligatures w14:val="none"/>
              </w:rPr>
            </w:pPr>
            <w:r w:rsidRPr="00333492">
              <w:rPr>
                <w:b/>
                <w:color w:val="000000"/>
                <w:kern w:val="0"/>
                <w:sz w:val="20"/>
                <w14:ligatures w14:val="none"/>
              </w:rPr>
              <w:t>Pontszám</w:t>
            </w:r>
          </w:p>
        </w:tc>
        <w:tc>
          <w:tcPr>
            <w:tcW w:w="2268" w:type="dxa"/>
            <w:tcBorders>
              <w:right w:val="double" w:sz="4" w:space="0" w:color="auto"/>
            </w:tcBorders>
            <w:shd w:val="clear" w:color="auto" w:fill="auto"/>
            <w:vAlign w:val="center"/>
          </w:tcPr>
          <w:p w14:paraId="66AF082D" w14:textId="77777777" w:rsidR="00333492" w:rsidRPr="00333492" w:rsidRDefault="00333492" w:rsidP="0018763A">
            <w:pPr>
              <w:widowControl/>
              <w:ind w:firstLine="0"/>
              <w:jc w:val="center"/>
              <w:rPr>
                <w:b/>
                <w:color w:val="000000"/>
                <w:kern w:val="0"/>
                <w:sz w:val="20"/>
                <w14:ligatures w14:val="none"/>
              </w:rPr>
            </w:pPr>
            <w:r w:rsidRPr="00333492">
              <w:rPr>
                <w:b/>
                <w:color w:val="000000"/>
                <w:kern w:val="0"/>
                <w:sz w:val="20"/>
                <w14:ligatures w14:val="none"/>
              </w:rPr>
              <w:t>Érzékenységi kategória</w:t>
            </w:r>
          </w:p>
        </w:tc>
        <w:tc>
          <w:tcPr>
            <w:tcW w:w="1423" w:type="dxa"/>
            <w:tcBorders>
              <w:left w:val="double" w:sz="4" w:space="0" w:color="auto"/>
            </w:tcBorders>
            <w:vAlign w:val="center"/>
          </w:tcPr>
          <w:p w14:paraId="40D49352" w14:textId="5D546916" w:rsidR="00333492" w:rsidRPr="00333492" w:rsidRDefault="00333492" w:rsidP="0018763A">
            <w:pPr>
              <w:widowControl/>
              <w:ind w:firstLine="0"/>
              <w:jc w:val="center"/>
              <w:rPr>
                <w:b/>
                <w:color w:val="000000"/>
                <w:kern w:val="0"/>
                <w:sz w:val="20"/>
                <w14:ligatures w14:val="none"/>
              </w:rPr>
            </w:pPr>
            <w:r w:rsidRPr="00333492">
              <w:rPr>
                <w:b/>
                <w:color w:val="000000"/>
                <w:kern w:val="0"/>
                <w:sz w:val="20"/>
                <w14:ligatures w14:val="none"/>
              </w:rPr>
              <w:t>Osztályközök</w:t>
            </w:r>
          </w:p>
        </w:tc>
        <w:tc>
          <w:tcPr>
            <w:tcW w:w="1134" w:type="dxa"/>
            <w:vAlign w:val="center"/>
          </w:tcPr>
          <w:p w14:paraId="3767BF10" w14:textId="0A5048A9" w:rsidR="00333492" w:rsidRPr="00333492" w:rsidRDefault="00333492" w:rsidP="0018763A">
            <w:pPr>
              <w:widowControl/>
              <w:ind w:firstLine="0"/>
              <w:jc w:val="center"/>
              <w:rPr>
                <w:b/>
                <w:color w:val="000000"/>
                <w:kern w:val="0"/>
                <w:sz w:val="20"/>
                <w14:ligatures w14:val="none"/>
              </w:rPr>
            </w:pPr>
            <w:r w:rsidRPr="00333492">
              <w:rPr>
                <w:b/>
                <w:color w:val="000000"/>
                <w:kern w:val="0"/>
                <w:sz w:val="20"/>
                <w14:ligatures w14:val="none"/>
              </w:rPr>
              <w:t>Pontszám</w:t>
            </w:r>
          </w:p>
        </w:tc>
        <w:tc>
          <w:tcPr>
            <w:tcW w:w="2268" w:type="dxa"/>
            <w:vAlign w:val="center"/>
          </w:tcPr>
          <w:p w14:paraId="36247666" w14:textId="450042CD" w:rsidR="00333492" w:rsidRPr="00333492" w:rsidRDefault="00333492" w:rsidP="0018763A">
            <w:pPr>
              <w:widowControl/>
              <w:ind w:firstLine="0"/>
              <w:jc w:val="center"/>
              <w:rPr>
                <w:b/>
                <w:color w:val="000000"/>
                <w:kern w:val="0"/>
                <w:sz w:val="20"/>
                <w14:ligatures w14:val="none"/>
              </w:rPr>
            </w:pPr>
            <w:r w:rsidRPr="00333492">
              <w:rPr>
                <w:b/>
                <w:color w:val="000000"/>
                <w:kern w:val="0"/>
                <w:sz w:val="20"/>
                <w14:ligatures w14:val="none"/>
              </w:rPr>
              <w:t>Érzékenységi kategória</w:t>
            </w:r>
          </w:p>
        </w:tc>
      </w:tr>
      <w:tr w:rsidR="00333492" w:rsidRPr="00333492" w14:paraId="7FB1DE6C" w14:textId="456821FF" w:rsidTr="0018763A">
        <w:trPr>
          <w:trHeight w:val="315"/>
          <w:jc w:val="center"/>
        </w:trPr>
        <w:tc>
          <w:tcPr>
            <w:tcW w:w="1408" w:type="dxa"/>
            <w:shd w:val="clear" w:color="auto" w:fill="auto"/>
            <w:vAlign w:val="center"/>
          </w:tcPr>
          <w:p w14:paraId="6EF23191" w14:textId="77777777" w:rsidR="00333492" w:rsidRPr="00333492" w:rsidRDefault="00333492" w:rsidP="00333492">
            <w:pPr>
              <w:widowControl/>
              <w:ind w:firstLine="0"/>
              <w:jc w:val="center"/>
              <w:rPr>
                <w:color w:val="000000"/>
                <w:kern w:val="0"/>
                <w:sz w:val="20"/>
                <w14:ligatures w14:val="none"/>
              </w:rPr>
            </w:pPr>
            <w:r w:rsidRPr="00333492">
              <w:rPr>
                <w:color w:val="000000"/>
                <w:kern w:val="0"/>
                <w:sz w:val="20"/>
                <w14:ligatures w14:val="none"/>
              </w:rPr>
              <w:t>100-150</w:t>
            </w:r>
          </w:p>
        </w:tc>
        <w:tc>
          <w:tcPr>
            <w:tcW w:w="992" w:type="dxa"/>
            <w:shd w:val="clear" w:color="auto" w:fill="auto"/>
            <w:vAlign w:val="center"/>
          </w:tcPr>
          <w:p w14:paraId="56B20A0C" w14:textId="77777777" w:rsidR="00333492" w:rsidRPr="00333492" w:rsidRDefault="00333492" w:rsidP="00333492">
            <w:pPr>
              <w:widowControl/>
              <w:ind w:firstLine="0"/>
              <w:jc w:val="right"/>
              <w:rPr>
                <w:color w:val="000000"/>
                <w:kern w:val="0"/>
                <w:sz w:val="20"/>
                <w14:ligatures w14:val="none"/>
              </w:rPr>
            </w:pPr>
            <w:r w:rsidRPr="00333492">
              <w:rPr>
                <w:color w:val="000000"/>
                <w:kern w:val="0"/>
                <w:sz w:val="20"/>
                <w14:ligatures w14:val="none"/>
              </w:rPr>
              <w:t>1</w:t>
            </w:r>
          </w:p>
        </w:tc>
        <w:tc>
          <w:tcPr>
            <w:tcW w:w="2268" w:type="dxa"/>
            <w:tcBorders>
              <w:right w:val="double" w:sz="4" w:space="0" w:color="auto"/>
            </w:tcBorders>
            <w:shd w:val="clear" w:color="auto" w:fill="70AD47"/>
            <w:vAlign w:val="center"/>
          </w:tcPr>
          <w:p w14:paraId="282361D6" w14:textId="77777777"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kevéssé érzékeny</w:t>
            </w:r>
          </w:p>
        </w:tc>
        <w:tc>
          <w:tcPr>
            <w:tcW w:w="1423" w:type="dxa"/>
            <w:tcBorders>
              <w:left w:val="double" w:sz="4" w:space="0" w:color="auto"/>
            </w:tcBorders>
            <w:shd w:val="clear" w:color="auto" w:fill="70AD47"/>
            <w:vAlign w:val="center"/>
          </w:tcPr>
          <w:p w14:paraId="46ED1D83" w14:textId="360F9049"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100</w:t>
            </w:r>
          </w:p>
        </w:tc>
        <w:tc>
          <w:tcPr>
            <w:tcW w:w="1134" w:type="dxa"/>
            <w:shd w:val="clear" w:color="auto" w:fill="70AD47"/>
            <w:vAlign w:val="center"/>
          </w:tcPr>
          <w:p w14:paraId="6AC4A8F4" w14:textId="0E1F03E2"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1</w:t>
            </w:r>
          </w:p>
        </w:tc>
        <w:tc>
          <w:tcPr>
            <w:tcW w:w="2268" w:type="dxa"/>
            <w:shd w:val="clear" w:color="auto" w:fill="70AD47"/>
            <w:vAlign w:val="center"/>
          </w:tcPr>
          <w:p w14:paraId="1191F752" w14:textId="56E4B3E4"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kevéssé érzékeny</w:t>
            </w:r>
          </w:p>
        </w:tc>
      </w:tr>
      <w:tr w:rsidR="00333492" w:rsidRPr="00333492" w14:paraId="021DF3E9" w14:textId="4EFC6E44" w:rsidTr="0018763A">
        <w:trPr>
          <w:trHeight w:val="315"/>
          <w:jc w:val="center"/>
        </w:trPr>
        <w:tc>
          <w:tcPr>
            <w:tcW w:w="1408" w:type="dxa"/>
            <w:shd w:val="clear" w:color="auto" w:fill="auto"/>
            <w:vAlign w:val="center"/>
          </w:tcPr>
          <w:p w14:paraId="5FF32297" w14:textId="77777777" w:rsidR="00333492" w:rsidRPr="00333492" w:rsidRDefault="00333492" w:rsidP="00333492">
            <w:pPr>
              <w:widowControl/>
              <w:ind w:firstLine="0"/>
              <w:jc w:val="center"/>
              <w:rPr>
                <w:color w:val="000000"/>
                <w:kern w:val="0"/>
                <w:sz w:val="20"/>
                <w14:ligatures w14:val="none"/>
              </w:rPr>
            </w:pPr>
            <w:r w:rsidRPr="00333492">
              <w:rPr>
                <w:color w:val="000000"/>
                <w:kern w:val="0"/>
                <w:sz w:val="20"/>
                <w14:ligatures w14:val="none"/>
              </w:rPr>
              <w:t>151-200</w:t>
            </w:r>
          </w:p>
        </w:tc>
        <w:tc>
          <w:tcPr>
            <w:tcW w:w="992" w:type="dxa"/>
            <w:shd w:val="clear" w:color="auto" w:fill="auto"/>
            <w:vAlign w:val="center"/>
          </w:tcPr>
          <w:p w14:paraId="7144751B" w14:textId="77777777" w:rsidR="00333492" w:rsidRPr="00333492" w:rsidRDefault="00333492" w:rsidP="00333492">
            <w:pPr>
              <w:widowControl/>
              <w:ind w:firstLine="0"/>
              <w:jc w:val="right"/>
              <w:rPr>
                <w:color w:val="000000"/>
                <w:kern w:val="0"/>
                <w:sz w:val="20"/>
                <w14:ligatures w14:val="none"/>
              </w:rPr>
            </w:pPr>
            <w:r w:rsidRPr="00333492">
              <w:rPr>
                <w:color w:val="000000"/>
                <w:kern w:val="0"/>
                <w:sz w:val="20"/>
                <w14:ligatures w14:val="none"/>
              </w:rPr>
              <w:t>2</w:t>
            </w:r>
          </w:p>
        </w:tc>
        <w:tc>
          <w:tcPr>
            <w:tcW w:w="2268" w:type="dxa"/>
            <w:tcBorders>
              <w:right w:val="double" w:sz="4" w:space="0" w:color="auto"/>
            </w:tcBorders>
            <w:shd w:val="clear" w:color="auto" w:fill="FFFF00"/>
            <w:vAlign w:val="center"/>
          </w:tcPr>
          <w:p w14:paraId="177242B1" w14:textId="77777777"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közepesen érzékeny</w:t>
            </w:r>
          </w:p>
        </w:tc>
        <w:tc>
          <w:tcPr>
            <w:tcW w:w="1423" w:type="dxa"/>
            <w:tcBorders>
              <w:left w:val="double" w:sz="4" w:space="0" w:color="auto"/>
            </w:tcBorders>
            <w:shd w:val="clear" w:color="auto" w:fill="FFFF00"/>
            <w:vAlign w:val="center"/>
          </w:tcPr>
          <w:p w14:paraId="451EF4EE" w14:textId="1ED613E9"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101-210</w:t>
            </w:r>
          </w:p>
        </w:tc>
        <w:tc>
          <w:tcPr>
            <w:tcW w:w="1134" w:type="dxa"/>
            <w:shd w:val="clear" w:color="auto" w:fill="FFFF00"/>
            <w:vAlign w:val="center"/>
          </w:tcPr>
          <w:p w14:paraId="3258B61B" w14:textId="15C6A292"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2</w:t>
            </w:r>
          </w:p>
        </w:tc>
        <w:tc>
          <w:tcPr>
            <w:tcW w:w="2268" w:type="dxa"/>
            <w:shd w:val="clear" w:color="auto" w:fill="FFFF00"/>
            <w:vAlign w:val="center"/>
          </w:tcPr>
          <w:p w14:paraId="4FA725AD" w14:textId="0057751D"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közepesen érzékeny</w:t>
            </w:r>
          </w:p>
        </w:tc>
      </w:tr>
      <w:tr w:rsidR="00333492" w:rsidRPr="00333492" w14:paraId="4625D240" w14:textId="5BF53601" w:rsidTr="0018763A">
        <w:trPr>
          <w:trHeight w:val="330"/>
          <w:jc w:val="center"/>
        </w:trPr>
        <w:tc>
          <w:tcPr>
            <w:tcW w:w="1408" w:type="dxa"/>
            <w:shd w:val="clear" w:color="auto" w:fill="auto"/>
            <w:vAlign w:val="center"/>
          </w:tcPr>
          <w:p w14:paraId="4B9914DA" w14:textId="77777777" w:rsidR="00333492" w:rsidRPr="00333492" w:rsidRDefault="00333492" w:rsidP="00333492">
            <w:pPr>
              <w:widowControl/>
              <w:ind w:firstLine="0"/>
              <w:jc w:val="center"/>
              <w:rPr>
                <w:color w:val="000000"/>
                <w:kern w:val="0"/>
                <w:sz w:val="20"/>
                <w14:ligatures w14:val="none"/>
              </w:rPr>
            </w:pPr>
            <w:r w:rsidRPr="00333492">
              <w:rPr>
                <w:color w:val="000000"/>
                <w:kern w:val="0"/>
                <w:sz w:val="20"/>
                <w14:ligatures w14:val="none"/>
              </w:rPr>
              <w:t>201-</w:t>
            </w:r>
          </w:p>
        </w:tc>
        <w:tc>
          <w:tcPr>
            <w:tcW w:w="992" w:type="dxa"/>
            <w:shd w:val="clear" w:color="auto" w:fill="auto"/>
            <w:vAlign w:val="center"/>
          </w:tcPr>
          <w:p w14:paraId="0B778152" w14:textId="77777777" w:rsidR="00333492" w:rsidRPr="00333492" w:rsidRDefault="00333492" w:rsidP="00333492">
            <w:pPr>
              <w:widowControl/>
              <w:ind w:firstLine="0"/>
              <w:jc w:val="right"/>
              <w:rPr>
                <w:color w:val="000000"/>
                <w:kern w:val="0"/>
                <w:sz w:val="20"/>
                <w14:ligatures w14:val="none"/>
              </w:rPr>
            </w:pPr>
            <w:r w:rsidRPr="00333492">
              <w:rPr>
                <w:color w:val="000000"/>
                <w:kern w:val="0"/>
                <w:sz w:val="20"/>
                <w14:ligatures w14:val="none"/>
              </w:rPr>
              <w:t>3</w:t>
            </w:r>
          </w:p>
        </w:tc>
        <w:tc>
          <w:tcPr>
            <w:tcW w:w="2268" w:type="dxa"/>
            <w:tcBorders>
              <w:right w:val="double" w:sz="4" w:space="0" w:color="auto"/>
            </w:tcBorders>
            <w:shd w:val="clear" w:color="auto" w:fill="FF0000"/>
            <w:vAlign w:val="center"/>
          </w:tcPr>
          <w:p w14:paraId="4267A48A" w14:textId="77777777"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jelentősen érzékeny</w:t>
            </w:r>
          </w:p>
        </w:tc>
        <w:tc>
          <w:tcPr>
            <w:tcW w:w="1423" w:type="dxa"/>
            <w:tcBorders>
              <w:left w:val="double" w:sz="4" w:space="0" w:color="auto"/>
            </w:tcBorders>
            <w:shd w:val="clear" w:color="auto" w:fill="FF0000"/>
            <w:vAlign w:val="center"/>
          </w:tcPr>
          <w:p w14:paraId="6925BEA5" w14:textId="3634843F"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210-</w:t>
            </w:r>
          </w:p>
        </w:tc>
        <w:tc>
          <w:tcPr>
            <w:tcW w:w="1134" w:type="dxa"/>
            <w:shd w:val="clear" w:color="auto" w:fill="FF0000"/>
            <w:vAlign w:val="center"/>
          </w:tcPr>
          <w:p w14:paraId="3674271D" w14:textId="17C22CE6"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3</w:t>
            </w:r>
          </w:p>
        </w:tc>
        <w:tc>
          <w:tcPr>
            <w:tcW w:w="2268" w:type="dxa"/>
            <w:shd w:val="clear" w:color="auto" w:fill="FF0000"/>
            <w:vAlign w:val="center"/>
          </w:tcPr>
          <w:p w14:paraId="680FAA90" w14:textId="0F412469" w:rsidR="00333492" w:rsidRPr="00333492" w:rsidRDefault="00333492" w:rsidP="00333492">
            <w:pPr>
              <w:widowControl/>
              <w:ind w:firstLine="0"/>
              <w:jc w:val="left"/>
              <w:rPr>
                <w:color w:val="000000"/>
                <w:kern w:val="0"/>
                <w:sz w:val="20"/>
                <w14:ligatures w14:val="none"/>
              </w:rPr>
            </w:pPr>
            <w:r w:rsidRPr="00333492">
              <w:rPr>
                <w:color w:val="000000"/>
                <w:kern w:val="0"/>
                <w:sz w:val="20"/>
                <w14:ligatures w14:val="none"/>
              </w:rPr>
              <w:t>jelentősen érzékeny</w:t>
            </w:r>
          </w:p>
        </w:tc>
      </w:tr>
    </w:tbl>
    <w:p w14:paraId="1C016799" w14:textId="77777777" w:rsidR="00502B30" w:rsidRPr="00592227" w:rsidRDefault="00943420" w:rsidP="00592227">
      <w:pPr>
        <w:ind w:firstLine="0"/>
        <w:jc w:val="center"/>
        <w:rPr>
          <w:i/>
          <w:sz w:val="22"/>
          <w:szCs w:val="22"/>
        </w:rPr>
      </w:pPr>
      <w:r w:rsidRPr="00592227">
        <w:rPr>
          <w:b/>
          <w:i/>
          <w:sz w:val="22"/>
          <w:szCs w:val="22"/>
        </w:rPr>
        <w:t>4</w:t>
      </w:r>
      <w:r w:rsidR="00502B30" w:rsidRPr="00592227">
        <w:rPr>
          <w:b/>
          <w:i/>
          <w:sz w:val="22"/>
          <w:szCs w:val="22"/>
        </w:rPr>
        <w:t>. táblázat</w:t>
      </w:r>
      <w:r w:rsidRPr="00592227">
        <w:rPr>
          <w:i/>
          <w:sz w:val="22"/>
          <w:szCs w:val="22"/>
        </w:rPr>
        <w:t xml:space="preserve"> A módosított érzékenységi besorolások kategóriái</w:t>
      </w:r>
    </w:p>
    <w:p w14:paraId="50895670" w14:textId="77777777" w:rsidR="00502B30" w:rsidRDefault="00502B30" w:rsidP="00502B30"/>
    <w:p w14:paraId="54A93B85" w14:textId="77777777" w:rsidR="0018763A" w:rsidRPr="00DE357F" w:rsidRDefault="0018763A" w:rsidP="00502B30"/>
    <w:tbl>
      <w:tblPr>
        <w:tblW w:w="8260" w:type="dxa"/>
        <w:jc w:val="center"/>
        <w:tblCellMar>
          <w:left w:w="70" w:type="dxa"/>
          <w:right w:w="70" w:type="dxa"/>
        </w:tblCellMar>
        <w:tblLook w:val="04A0" w:firstRow="1" w:lastRow="0" w:firstColumn="1" w:lastColumn="0" w:noHBand="0" w:noVBand="1"/>
      </w:tblPr>
      <w:tblGrid>
        <w:gridCol w:w="4260"/>
        <w:gridCol w:w="1400"/>
        <w:gridCol w:w="2600"/>
      </w:tblGrid>
      <w:tr w:rsidR="00502B30" w:rsidRPr="00592227" w14:paraId="3CE84966" w14:textId="77777777" w:rsidTr="00592227">
        <w:trPr>
          <w:trHeight w:val="315"/>
          <w:jc w:val="center"/>
        </w:trPr>
        <w:tc>
          <w:tcPr>
            <w:tcW w:w="4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2BF9E" w14:textId="77777777" w:rsidR="00502B30" w:rsidRPr="00592227" w:rsidRDefault="00502B30" w:rsidP="00CA4BF9">
            <w:pPr>
              <w:widowControl/>
              <w:ind w:firstLine="0"/>
              <w:jc w:val="center"/>
              <w:rPr>
                <w:rFonts w:eastAsia="Times New Roman"/>
                <w:b/>
                <w:bCs/>
                <w:color w:val="000000"/>
                <w:kern w:val="0"/>
                <w:sz w:val="22"/>
                <w:szCs w:val="22"/>
                <w:lang w:eastAsia="hu-HU"/>
                <w14:ligatures w14:val="none"/>
              </w:rPr>
            </w:pPr>
            <w:r w:rsidRPr="00592227">
              <w:rPr>
                <w:rFonts w:eastAsia="Times New Roman"/>
                <w:b/>
                <w:bCs/>
                <w:color w:val="000000"/>
                <w:kern w:val="0"/>
                <w:sz w:val="22"/>
                <w:szCs w:val="22"/>
                <w:lang w:eastAsia="hu-HU"/>
                <w14:ligatures w14:val="none"/>
              </w:rPr>
              <w:lastRenderedPageBreak/>
              <w:t>Érzékenységi pontszám</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42764296" w14:textId="77777777" w:rsidR="00502B30" w:rsidRPr="00592227" w:rsidRDefault="00502B30" w:rsidP="00CA4BF9">
            <w:pPr>
              <w:widowControl/>
              <w:ind w:firstLine="0"/>
              <w:jc w:val="center"/>
              <w:rPr>
                <w:rFonts w:eastAsia="Times New Roman"/>
                <w:b/>
                <w:bCs/>
                <w:color w:val="000000"/>
                <w:kern w:val="0"/>
                <w:sz w:val="22"/>
                <w:szCs w:val="22"/>
                <w:lang w:eastAsia="hu-HU"/>
                <w14:ligatures w14:val="none"/>
              </w:rPr>
            </w:pPr>
            <w:r w:rsidRPr="00592227">
              <w:rPr>
                <w:rFonts w:eastAsia="Times New Roman"/>
                <w:b/>
                <w:bCs/>
                <w:color w:val="000000"/>
                <w:kern w:val="0"/>
                <w:sz w:val="22"/>
                <w:szCs w:val="22"/>
                <w:lang w:eastAsia="hu-HU"/>
                <w14:ligatures w14:val="none"/>
              </w:rPr>
              <w:t>Jelzőlámpa</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58B35F3A" w14:textId="77777777" w:rsidR="00502B30" w:rsidRPr="00592227" w:rsidRDefault="00502B30" w:rsidP="00CA4BF9">
            <w:pPr>
              <w:widowControl/>
              <w:ind w:firstLine="0"/>
              <w:jc w:val="center"/>
              <w:rPr>
                <w:rFonts w:eastAsia="Times New Roman"/>
                <w:b/>
                <w:bCs/>
                <w:color w:val="000000"/>
                <w:kern w:val="0"/>
                <w:sz w:val="22"/>
                <w:szCs w:val="22"/>
                <w:lang w:eastAsia="hu-HU"/>
                <w14:ligatures w14:val="none"/>
              </w:rPr>
            </w:pPr>
            <w:r w:rsidRPr="00592227">
              <w:rPr>
                <w:rFonts w:eastAsia="Times New Roman"/>
                <w:b/>
                <w:bCs/>
                <w:color w:val="000000"/>
                <w:kern w:val="0"/>
                <w:sz w:val="22"/>
                <w:szCs w:val="22"/>
                <w:lang w:eastAsia="hu-HU"/>
                <w14:ligatures w14:val="none"/>
              </w:rPr>
              <w:t>Besorolás</w:t>
            </w:r>
          </w:p>
        </w:tc>
      </w:tr>
      <w:tr w:rsidR="00502B30" w:rsidRPr="00592227" w14:paraId="7799828C" w14:textId="77777777" w:rsidTr="00592227">
        <w:trPr>
          <w:trHeight w:val="315"/>
          <w:jc w:val="center"/>
        </w:trPr>
        <w:tc>
          <w:tcPr>
            <w:tcW w:w="4260" w:type="dxa"/>
            <w:tcBorders>
              <w:top w:val="nil"/>
              <w:left w:val="single" w:sz="4" w:space="0" w:color="auto"/>
              <w:bottom w:val="single" w:sz="4" w:space="0" w:color="auto"/>
              <w:right w:val="single" w:sz="4" w:space="0" w:color="auto"/>
            </w:tcBorders>
            <w:shd w:val="clear" w:color="000000" w:fill="A9D08E"/>
            <w:noWrap/>
            <w:vAlign w:val="bottom"/>
            <w:hideMark/>
          </w:tcPr>
          <w:p w14:paraId="5B57F55C" w14:textId="77777777" w:rsidR="00502B30" w:rsidRPr="00592227" w:rsidRDefault="00502B30"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4-7</w:t>
            </w:r>
          </w:p>
        </w:tc>
        <w:tc>
          <w:tcPr>
            <w:tcW w:w="1400" w:type="dxa"/>
            <w:tcBorders>
              <w:top w:val="nil"/>
              <w:left w:val="nil"/>
              <w:bottom w:val="single" w:sz="4" w:space="0" w:color="auto"/>
              <w:right w:val="single" w:sz="4" w:space="0" w:color="auto"/>
            </w:tcBorders>
            <w:shd w:val="clear" w:color="000000" w:fill="A9D08E"/>
            <w:noWrap/>
            <w:vAlign w:val="bottom"/>
            <w:hideMark/>
          </w:tcPr>
          <w:p w14:paraId="1C4331C7" w14:textId="77777777" w:rsidR="00502B30" w:rsidRPr="00592227" w:rsidRDefault="00502B30"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1 (zöld)</w:t>
            </w:r>
          </w:p>
        </w:tc>
        <w:tc>
          <w:tcPr>
            <w:tcW w:w="2600" w:type="dxa"/>
            <w:tcBorders>
              <w:top w:val="nil"/>
              <w:left w:val="nil"/>
              <w:bottom w:val="single" w:sz="4" w:space="0" w:color="auto"/>
              <w:right w:val="single" w:sz="4" w:space="0" w:color="auto"/>
            </w:tcBorders>
            <w:shd w:val="clear" w:color="000000" w:fill="A9D08E"/>
            <w:noWrap/>
            <w:vAlign w:val="bottom"/>
            <w:hideMark/>
          </w:tcPr>
          <w:p w14:paraId="4230F11A" w14:textId="77777777" w:rsidR="00502B30" w:rsidRPr="00592227" w:rsidRDefault="00502B30"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kevéssé érzékeny</w:t>
            </w:r>
          </w:p>
        </w:tc>
      </w:tr>
      <w:tr w:rsidR="00502B30" w:rsidRPr="00592227" w14:paraId="4334DBCC" w14:textId="77777777" w:rsidTr="00592227">
        <w:trPr>
          <w:trHeight w:val="315"/>
          <w:jc w:val="center"/>
        </w:trPr>
        <w:tc>
          <w:tcPr>
            <w:tcW w:w="4260" w:type="dxa"/>
            <w:tcBorders>
              <w:top w:val="nil"/>
              <w:left w:val="single" w:sz="4" w:space="0" w:color="auto"/>
              <w:bottom w:val="single" w:sz="4" w:space="0" w:color="auto"/>
              <w:right w:val="single" w:sz="4" w:space="0" w:color="auto"/>
            </w:tcBorders>
            <w:shd w:val="clear" w:color="000000" w:fill="A9D08E"/>
            <w:noWrap/>
            <w:vAlign w:val="bottom"/>
            <w:hideMark/>
          </w:tcPr>
          <w:p w14:paraId="1FBA431B" w14:textId="77777777" w:rsidR="00502B30" w:rsidRPr="00592227" w:rsidRDefault="00502B30"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8-10</w:t>
            </w:r>
          </w:p>
        </w:tc>
        <w:tc>
          <w:tcPr>
            <w:tcW w:w="1400" w:type="dxa"/>
            <w:tcBorders>
              <w:top w:val="nil"/>
              <w:left w:val="nil"/>
              <w:bottom w:val="single" w:sz="4" w:space="0" w:color="auto"/>
              <w:right w:val="single" w:sz="4" w:space="0" w:color="auto"/>
            </w:tcBorders>
            <w:shd w:val="clear" w:color="000000" w:fill="A9D08E"/>
            <w:noWrap/>
            <w:vAlign w:val="bottom"/>
            <w:hideMark/>
          </w:tcPr>
          <w:p w14:paraId="52404210" w14:textId="77777777" w:rsidR="00502B30" w:rsidRPr="00592227" w:rsidRDefault="00502B30"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2 (sárga)</w:t>
            </w:r>
          </w:p>
        </w:tc>
        <w:tc>
          <w:tcPr>
            <w:tcW w:w="2600" w:type="dxa"/>
            <w:tcBorders>
              <w:top w:val="nil"/>
              <w:left w:val="nil"/>
              <w:bottom w:val="single" w:sz="4" w:space="0" w:color="auto"/>
              <w:right w:val="single" w:sz="4" w:space="0" w:color="auto"/>
            </w:tcBorders>
            <w:shd w:val="clear" w:color="000000" w:fill="A9D08E"/>
            <w:noWrap/>
            <w:vAlign w:val="bottom"/>
            <w:hideMark/>
          </w:tcPr>
          <w:p w14:paraId="7EC89160" w14:textId="77777777" w:rsidR="00502B30" w:rsidRPr="00592227" w:rsidRDefault="00502B30"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közepesen érzékeny</w:t>
            </w:r>
          </w:p>
        </w:tc>
      </w:tr>
      <w:tr w:rsidR="00502B30" w:rsidRPr="00592227" w14:paraId="30BF0A4B" w14:textId="77777777" w:rsidTr="00592227">
        <w:trPr>
          <w:trHeight w:val="315"/>
          <w:jc w:val="center"/>
        </w:trPr>
        <w:tc>
          <w:tcPr>
            <w:tcW w:w="4260" w:type="dxa"/>
            <w:tcBorders>
              <w:top w:val="nil"/>
              <w:left w:val="single" w:sz="4" w:space="0" w:color="auto"/>
              <w:bottom w:val="single" w:sz="4" w:space="0" w:color="auto"/>
              <w:right w:val="single" w:sz="4" w:space="0" w:color="auto"/>
            </w:tcBorders>
            <w:shd w:val="clear" w:color="000000" w:fill="A9D08E"/>
            <w:noWrap/>
            <w:vAlign w:val="bottom"/>
            <w:hideMark/>
          </w:tcPr>
          <w:p w14:paraId="7A346230" w14:textId="77777777" w:rsidR="00502B30" w:rsidRPr="00592227" w:rsidRDefault="00502B30"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11-12</w:t>
            </w:r>
          </w:p>
        </w:tc>
        <w:tc>
          <w:tcPr>
            <w:tcW w:w="1400" w:type="dxa"/>
            <w:tcBorders>
              <w:top w:val="nil"/>
              <w:left w:val="nil"/>
              <w:bottom w:val="single" w:sz="4" w:space="0" w:color="auto"/>
              <w:right w:val="single" w:sz="4" w:space="0" w:color="auto"/>
            </w:tcBorders>
            <w:shd w:val="clear" w:color="000000" w:fill="A9D08E"/>
            <w:noWrap/>
            <w:vAlign w:val="bottom"/>
            <w:hideMark/>
          </w:tcPr>
          <w:p w14:paraId="1CCA85BF" w14:textId="77777777" w:rsidR="00502B30" w:rsidRPr="00592227" w:rsidRDefault="00502B30"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3 (piros)</w:t>
            </w:r>
          </w:p>
        </w:tc>
        <w:tc>
          <w:tcPr>
            <w:tcW w:w="2600" w:type="dxa"/>
            <w:tcBorders>
              <w:top w:val="nil"/>
              <w:left w:val="nil"/>
              <w:bottom w:val="single" w:sz="4" w:space="0" w:color="auto"/>
              <w:right w:val="single" w:sz="4" w:space="0" w:color="auto"/>
            </w:tcBorders>
            <w:shd w:val="clear" w:color="000000" w:fill="A9D08E"/>
            <w:noWrap/>
            <w:vAlign w:val="bottom"/>
            <w:hideMark/>
          </w:tcPr>
          <w:p w14:paraId="66CBA5A4" w14:textId="77777777" w:rsidR="00502B30" w:rsidRPr="00592227" w:rsidRDefault="00502B30"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erősen érzékeny</w:t>
            </w:r>
          </w:p>
        </w:tc>
      </w:tr>
    </w:tbl>
    <w:p w14:paraId="7939D1BC" w14:textId="77777777" w:rsidR="00502B30" w:rsidRPr="00592227" w:rsidRDefault="00943420" w:rsidP="00592227">
      <w:pPr>
        <w:ind w:firstLine="0"/>
        <w:jc w:val="center"/>
        <w:rPr>
          <w:i/>
          <w:sz w:val="22"/>
          <w:szCs w:val="22"/>
        </w:rPr>
      </w:pPr>
      <w:r w:rsidRPr="00592227">
        <w:rPr>
          <w:b/>
          <w:i/>
          <w:sz w:val="22"/>
          <w:szCs w:val="22"/>
        </w:rPr>
        <w:t>5</w:t>
      </w:r>
      <w:r w:rsidR="00502B30" w:rsidRPr="00592227">
        <w:rPr>
          <w:b/>
          <w:i/>
          <w:sz w:val="22"/>
          <w:szCs w:val="22"/>
        </w:rPr>
        <w:t>. táblázat</w:t>
      </w:r>
      <w:r w:rsidR="00502B30" w:rsidRPr="00592227">
        <w:rPr>
          <w:i/>
          <w:sz w:val="22"/>
          <w:szCs w:val="22"/>
        </w:rPr>
        <w:t xml:space="preserve"> Az érzékenységi besorolás kategóriái</w:t>
      </w:r>
    </w:p>
    <w:p w14:paraId="38C1F859" w14:textId="77777777" w:rsidR="00D32D4B" w:rsidRPr="00DE357F" w:rsidRDefault="00D32D4B" w:rsidP="00502B30"/>
    <w:p w14:paraId="5CD05589" w14:textId="77777777" w:rsidR="00502B30" w:rsidRPr="00DE357F" w:rsidRDefault="00502B30" w:rsidP="0006140A">
      <w:r w:rsidRPr="00DE357F">
        <w:t xml:space="preserve">A legtöbb </w:t>
      </w:r>
      <w:r w:rsidR="0006140A" w:rsidRPr="00DE357F">
        <w:t>vizsgált távhőkörzet</w:t>
      </w:r>
      <w:r w:rsidRPr="00DE357F">
        <w:t xml:space="preserve"> a közepesen érzékeny kategóriába került besorolásra. Kevésbé érzékenyek azok a </w:t>
      </w:r>
      <w:r w:rsidR="0006140A" w:rsidRPr="00DE357F">
        <w:t>körzetek (9 db)</w:t>
      </w:r>
      <w:r w:rsidRPr="00DE357F">
        <w:t xml:space="preserve">, amelyek viszonylag </w:t>
      </w:r>
      <w:r w:rsidR="0006140A" w:rsidRPr="00DE357F">
        <w:t>modernnek, vezetékeiket tekintve nagyobb arányban védettebbnek számítanak.</w:t>
      </w:r>
      <w:r w:rsidRPr="00DE357F">
        <w:t xml:space="preserve"> Ezek a </w:t>
      </w:r>
      <w:r w:rsidR="0006140A" w:rsidRPr="00DE357F">
        <w:t>körzetek Budapesten,</w:t>
      </w:r>
      <w:r w:rsidRPr="00DE357F">
        <w:t xml:space="preserve"> </w:t>
      </w:r>
      <w:r w:rsidR="0006140A" w:rsidRPr="00DE357F">
        <w:t xml:space="preserve">a </w:t>
      </w:r>
      <w:r w:rsidRPr="00DE357F">
        <w:t>Dunántúlon</w:t>
      </w:r>
      <w:r w:rsidR="0006140A" w:rsidRPr="00DE357F">
        <w:t xml:space="preserve"> (pl. Dorog-Esztergom, Kaposvár, Oroszlány)</w:t>
      </w:r>
      <w:r w:rsidRPr="00DE357F">
        <w:t xml:space="preserve"> és az Alföldön </w:t>
      </w:r>
      <w:r w:rsidR="0006140A" w:rsidRPr="00DE357F">
        <w:t xml:space="preserve">(pl. Debrecen, Szeged) </w:t>
      </w:r>
      <w:r w:rsidRPr="00DE357F">
        <w:t xml:space="preserve">egyaránt </w:t>
      </w:r>
      <w:r w:rsidR="0006140A" w:rsidRPr="00DE357F">
        <w:t>megtalálhatóak. Erősen érzékeny</w:t>
      </w:r>
      <w:r w:rsidRPr="00DE357F">
        <w:t xml:space="preserve">ek elsősorban </w:t>
      </w:r>
      <w:r w:rsidR="0006140A" w:rsidRPr="00DE357F">
        <w:t>a Dunántúlon például volt szocialista városokban figyelhetőek meg (</w:t>
      </w:r>
      <w:proofErr w:type="gramStart"/>
      <w:r w:rsidR="0006140A" w:rsidRPr="00DE357F">
        <w:t>pl..</w:t>
      </w:r>
      <w:proofErr w:type="gramEnd"/>
      <w:r w:rsidRPr="00DE357F">
        <w:t xml:space="preserve"> </w:t>
      </w:r>
      <w:r w:rsidR="0006140A" w:rsidRPr="00DE357F">
        <w:t xml:space="preserve">Komló, Pécs, Tatabánya) a komplex pontozás alapján. </w:t>
      </w:r>
    </w:p>
    <w:p w14:paraId="445A9110" w14:textId="3A8F139E" w:rsidR="00C46733" w:rsidRPr="00592227" w:rsidRDefault="00C46733" w:rsidP="00DE357F">
      <w:pPr>
        <w:ind w:firstLine="0"/>
        <w:jc w:val="center"/>
        <w:rPr>
          <w:sz w:val="22"/>
          <w:szCs w:val="22"/>
        </w:rPr>
      </w:pPr>
      <w:r w:rsidRPr="00592227">
        <w:rPr>
          <w:noProof/>
          <w:sz w:val="22"/>
          <w:szCs w:val="22"/>
          <w:lang w:eastAsia="hu-HU"/>
          <w14:ligatures w14:val="none"/>
        </w:rPr>
        <w:drawing>
          <wp:inline distT="0" distB="0" distL="0" distR="0" wp14:anchorId="0EE0F438" wp14:editId="6705CF4C">
            <wp:extent cx="5760720" cy="3728720"/>
            <wp:effectExtent l="0" t="0" r="0" b="508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vho_erz_kor_23082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3728720"/>
                    </a:xfrm>
                    <a:prstGeom prst="rect">
                      <a:avLst/>
                    </a:prstGeom>
                  </pic:spPr>
                </pic:pic>
              </a:graphicData>
            </a:graphic>
          </wp:inline>
        </w:drawing>
      </w:r>
      <w:r w:rsidR="00B026E6" w:rsidRPr="00592227">
        <w:rPr>
          <w:b/>
          <w:i/>
          <w:sz w:val="22"/>
          <w:szCs w:val="22"/>
        </w:rPr>
        <w:t>23</w:t>
      </w:r>
      <w:r w:rsidR="00355D35" w:rsidRPr="00592227">
        <w:rPr>
          <w:b/>
          <w:i/>
          <w:sz w:val="22"/>
          <w:szCs w:val="22"/>
        </w:rPr>
        <w:t>. ábra</w:t>
      </w:r>
      <w:r w:rsidR="00355D35" w:rsidRPr="00592227">
        <w:rPr>
          <w:i/>
          <w:sz w:val="22"/>
          <w:szCs w:val="22"/>
        </w:rPr>
        <w:t xml:space="preserve"> A vizsgált távhőkörzetek érzékenységi besorolása a komplex érzékenységi indikátor alapján</w:t>
      </w:r>
    </w:p>
    <w:p w14:paraId="0C8FE7CE" w14:textId="77777777" w:rsidR="00C46733" w:rsidRDefault="00C46733" w:rsidP="00C46733">
      <w:pPr>
        <w:rPr>
          <w:sz w:val="22"/>
          <w:szCs w:val="22"/>
        </w:rPr>
      </w:pPr>
    </w:p>
    <w:p w14:paraId="312F1877" w14:textId="77777777" w:rsidR="00DE357F" w:rsidRPr="00592227" w:rsidRDefault="00DE357F" w:rsidP="00C46733">
      <w:pPr>
        <w:rPr>
          <w:sz w:val="22"/>
          <w:szCs w:val="22"/>
        </w:rPr>
      </w:pPr>
    </w:p>
    <w:p w14:paraId="335F6512" w14:textId="77777777" w:rsidR="006D5975" w:rsidRDefault="006D5975">
      <w:pPr>
        <w:widowControl/>
        <w:spacing w:after="160" w:line="259" w:lineRule="auto"/>
        <w:ind w:firstLine="0"/>
        <w:jc w:val="left"/>
        <w:rPr>
          <w:rFonts w:eastAsiaTheme="majorEastAsia"/>
          <w:b/>
          <w:bCs/>
          <w:noProof/>
          <w:color w:val="000000" w:themeColor="text1"/>
          <w:sz w:val="26"/>
          <w:szCs w:val="26"/>
        </w:rPr>
      </w:pPr>
      <w:r>
        <w:rPr>
          <w:noProof/>
        </w:rPr>
        <w:br w:type="page"/>
      </w:r>
    </w:p>
    <w:p w14:paraId="5C68FBE7" w14:textId="23E56BA5" w:rsidR="00A21A0B" w:rsidRPr="00592227" w:rsidRDefault="003F4791" w:rsidP="006D5975">
      <w:pPr>
        <w:pStyle w:val="Cmsor2"/>
        <w:rPr>
          <w:noProof/>
        </w:rPr>
      </w:pPr>
      <w:bookmarkStart w:id="28" w:name="_Toc147484210"/>
      <w:r w:rsidRPr="00592227">
        <w:rPr>
          <w:noProof/>
        </w:rPr>
        <w:lastRenderedPageBreak/>
        <w:t>9.4</w:t>
      </w:r>
      <w:r w:rsidR="00A21A0B" w:rsidRPr="00592227">
        <w:rPr>
          <w:noProof/>
        </w:rPr>
        <w:t>.</w:t>
      </w:r>
      <w:r w:rsidR="00554F8D" w:rsidRPr="00592227">
        <w:rPr>
          <w:noProof/>
        </w:rPr>
        <w:t xml:space="preserve"> A vizsgált távhőkörzetek esetében várható komplex hatások</w:t>
      </w:r>
      <w:bookmarkEnd w:id="28"/>
    </w:p>
    <w:p w14:paraId="58B108B1" w14:textId="77777777" w:rsidR="00232A46" w:rsidRPr="00DE357F" w:rsidRDefault="002D33D9" w:rsidP="00232A46">
      <w:r w:rsidRPr="00DE357F">
        <w:t xml:space="preserve">Az éghajlati és földtani kitettségi mutatók </w:t>
      </w:r>
      <w:proofErr w:type="gramStart"/>
      <w:r w:rsidRPr="00DE357F">
        <w:t>alapján</w:t>
      </w:r>
      <w:proofErr w:type="gramEnd"/>
      <w:r w:rsidRPr="00DE357F">
        <w:t xml:space="preserve"> valamint a komplex érzékenységi mutatókból várható hatásra vonatkozó összetett hatásindikátort hoztunk létre a nagy hőkiadású távhőkörzetek távhővezetékei vonatkozásában. Ennek besorolását az alábbi 4 tematikus térkép tartalmazza</w:t>
      </w:r>
      <w:r w:rsidR="00D32D4B" w:rsidRPr="00DE357F">
        <w:t xml:space="preserve"> (24. ábra)</w:t>
      </w:r>
      <w:r w:rsidRPr="00DE357F">
        <w:t xml:space="preserve">. </w:t>
      </w:r>
      <w:r w:rsidR="00232A46" w:rsidRPr="00DE357F">
        <w:t xml:space="preserve">A hatás számításához szükséges képletet a módszertani tanulmány tartalmazza, ám a számítások elvégzése és a számított adatok áttekintése után tudtuk csak létrehozni a háromosztatú úgynevezett jelzőlámpa besorolást, amelynek kategóriái (hasonló osztályközzel): 0-5 pont alacsony várható hatás, 6-10 pont közepes várható hatás, 11 pont felett magas várható hatás. </w:t>
      </w:r>
    </w:p>
    <w:p w14:paraId="40BB1080" w14:textId="77777777" w:rsidR="002D33D9" w:rsidRPr="00DE357F" w:rsidRDefault="002D33D9" w:rsidP="002D33D9">
      <w:r w:rsidRPr="00DE357F">
        <w:t xml:space="preserve"> Az éghajlati modellezések változó paramétereit figyelembe véve megállapítható, hogy középtávon (2021-2050) a legtöbb hazai távhőkörzet (például Budapest és agglomerációja, Debrecen, Miskolc, Szeged) esetén várhatóan alacsony lesz az összetett hatás. Kivételt (várhatóan közepes hatás) a következő körzetek jelentenek: </w:t>
      </w:r>
      <w:r w:rsidR="00557653" w:rsidRPr="00DE357F">
        <w:t>Eger, Pécs, Tiszaújváros.</w:t>
      </w:r>
      <w:r w:rsidRPr="00DE357F">
        <w:t xml:space="preserve"> </w:t>
      </w:r>
      <w:r w:rsidR="00557653" w:rsidRPr="00DE357F">
        <w:t>Kitettségüket és érzékenységüket figyelembe véve Komlón, Szombathelyen (Vízöntő), Tatabányán várhatú erős hatás.</w:t>
      </w:r>
    </w:p>
    <w:p w14:paraId="76582D4C" w14:textId="77777777" w:rsidR="002D33D9" w:rsidRPr="00DE357F" w:rsidRDefault="002D33D9" w:rsidP="002D33D9">
      <w:r w:rsidRPr="00DE357F">
        <w:t>A hosszú</w:t>
      </w:r>
      <w:r w:rsidR="007565DF" w:rsidRPr="00DE357F">
        <w:t xml:space="preserve"> </w:t>
      </w:r>
      <w:r w:rsidRPr="00DE357F">
        <w:t>távú (2071-2100) előrejelzések már árnyaltabb</w:t>
      </w:r>
      <w:r w:rsidR="00D32D4B" w:rsidRPr="00DE357F">
        <w:t>,</w:t>
      </w:r>
      <w:r w:rsidRPr="00DE357F">
        <w:t xml:space="preserve"> </w:t>
      </w:r>
      <w:r w:rsidR="00557653" w:rsidRPr="00DE357F">
        <w:t>de</w:t>
      </w:r>
      <w:r w:rsidRPr="00DE357F">
        <w:t xml:space="preserve"> </w:t>
      </w:r>
      <w:r w:rsidR="00D32D4B" w:rsidRPr="00DE357F">
        <w:t>nem sokkal erősebb</w:t>
      </w:r>
      <w:r w:rsidRPr="00DE357F">
        <w:t xml:space="preserve"> hatásokat vetítenek előre </w:t>
      </w:r>
      <w:r w:rsidR="00557653" w:rsidRPr="00DE357F">
        <w:t>például</w:t>
      </w:r>
      <w:r w:rsidRPr="00DE357F">
        <w:t xml:space="preserve"> a pesszimista éghajlati forgatókönyv (RCP 8.5) alapján. </w:t>
      </w:r>
      <w:r w:rsidR="00557653" w:rsidRPr="00DE357F">
        <w:t xml:space="preserve">Kisebb </w:t>
      </w:r>
      <w:r w:rsidRPr="00DE357F">
        <w:t xml:space="preserve">arányban csökken majd a várhatóan alacsony hatású kategóriába sorolt </w:t>
      </w:r>
      <w:r w:rsidR="00557653" w:rsidRPr="00DE357F">
        <w:t>körzetek</w:t>
      </w:r>
      <w:r w:rsidRPr="00DE357F">
        <w:t xml:space="preserve"> száma</w:t>
      </w:r>
      <w:r w:rsidR="00557653" w:rsidRPr="00DE357F">
        <w:t>, így 13 ilyen körzet marad</w:t>
      </w:r>
      <w:r w:rsidRPr="00DE357F">
        <w:t xml:space="preserve">. </w:t>
      </w:r>
      <w:r w:rsidR="00557653" w:rsidRPr="00DE357F">
        <w:t>Tiszaújváros és Szombathely</w:t>
      </w:r>
      <w:r w:rsidRPr="00DE357F">
        <w:t xml:space="preserve"> </w:t>
      </w:r>
      <w:r w:rsidR="00557653" w:rsidRPr="00DE357F">
        <w:t xml:space="preserve">kerül még a </w:t>
      </w:r>
      <w:r w:rsidRPr="00DE357F">
        <w:t>magas várható hatással jelleme</w:t>
      </w:r>
      <w:r w:rsidR="00557653" w:rsidRPr="00DE357F">
        <w:t>zhető kategóriába</w:t>
      </w:r>
      <w:r w:rsidRPr="00DE357F">
        <w:t xml:space="preserve">. Hosszútávon is alacsony hatású kategóriába került besorolásra </w:t>
      </w:r>
      <w:r w:rsidR="00557653" w:rsidRPr="00DE357F">
        <w:t xml:space="preserve">Budapest és térségének több </w:t>
      </w:r>
      <w:proofErr w:type="gramStart"/>
      <w:r w:rsidR="00557653" w:rsidRPr="00DE357F">
        <w:t>körzete</w:t>
      </w:r>
      <w:proofErr w:type="gramEnd"/>
      <w:r w:rsidR="00557653" w:rsidRPr="00DE357F">
        <w:t xml:space="preserve"> valamint Debrecen és Szeged</w:t>
      </w:r>
      <w:r w:rsidRPr="00DE357F">
        <w:t>.</w:t>
      </w:r>
    </w:p>
    <w:p w14:paraId="67C0C651" w14:textId="77777777" w:rsidR="002D33D9" w:rsidRPr="00DE357F" w:rsidRDefault="002D33D9" w:rsidP="002D33D9"/>
    <w:p w14:paraId="308D56CC" w14:textId="77777777" w:rsidR="00C46733" w:rsidRPr="00592227" w:rsidRDefault="00C46733" w:rsidP="00592227">
      <w:pPr>
        <w:ind w:firstLine="0"/>
        <w:jc w:val="center"/>
        <w:rPr>
          <w:sz w:val="22"/>
          <w:szCs w:val="22"/>
        </w:rPr>
      </w:pPr>
      <w:r w:rsidRPr="00592227">
        <w:rPr>
          <w:noProof/>
          <w:sz w:val="22"/>
          <w:szCs w:val="22"/>
          <w:lang w:eastAsia="hu-HU"/>
          <w14:ligatures w14:val="none"/>
        </w:rPr>
        <w:drawing>
          <wp:inline distT="0" distB="0" distL="0" distR="0" wp14:anchorId="64EE9756" wp14:editId="30309A55">
            <wp:extent cx="5760720" cy="355092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vho_hatas_fekvo_kor_23082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3550920"/>
                    </a:xfrm>
                    <a:prstGeom prst="rect">
                      <a:avLst/>
                    </a:prstGeom>
                  </pic:spPr>
                </pic:pic>
              </a:graphicData>
            </a:graphic>
          </wp:inline>
        </w:drawing>
      </w:r>
    </w:p>
    <w:p w14:paraId="36742426" w14:textId="77777777" w:rsidR="00FC3DA2" w:rsidRPr="00592227" w:rsidRDefault="00B026E6" w:rsidP="00592227">
      <w:pPr>
        <w:ind w:firstLine="0"/>
        <w:jc w:val="center"/>
        <w:rPr>
          <w:i/>
          <w:sz w:val="22"/>
          <w:szCs w:val="22"/>
        </w:rPr>
      </w:pPr>
      <w:r w:rsidRPr="00592227">
        <w:rPr>
          <w:b/>
          <w:i/>
          <w:sz w:val="22"/>
          <w:szCs w:val="22"/>
        </w:rPr>
        <w:t>24</w:t>
      </w:r>
      <w:r w:rsidR="00CA4BF9" w:rsidRPr="00592227">
        <w:rPr>
          <w:b/>
          <w:i/>
          <w:sz w:val="22"/>
          <w:szCs w:val="22"/>
        </w:rPr>
        <w:t>. ábra</w:t>
      </w:r>
      <w:r w:rsidR="00CA4BF9" w:rsidRPr="00592227">
        <w:rPr>
          <w:i/>
          <w:sz w:val="22"/>
          <w:szCs w:val="22"/>
        </w:rPr>
        <w:t xml:space="preserve"> A</w:t>
      </w:r>
      <w:r w:rsidR="00FC3DA2" w:rsidRPr="00592227">
        <w:rPr>
          <w:i/>
          <w:sz w:val="22"/>
          <w:szCs w:val="22"/>
        </w:rPr>
        <w:t xml:space="preserve"> vizsgált távhőkörzetek várható hatásra vonatkozó besorolása a komplex kategóriák alapján</w:t>
      </w:r>
    </w:p>
    <w:p w14:paraId="797E50C6" w14:textId="77777777" w:rsidR="00FC3DA2" w:rsidRPr="00DE357F" w:rsidRDefault="00FC3DA2" w:rsidP="00DE357F"/>
    <w:p w14:paraId="39411A57" w14:textId="77777777" w:rsidR="0018763A" w:rsidRDefault="0018763A">
      <w:pPr>
        <w:widowControl/>
        <w:spacing w:after="160" w:line="259" w:lineRule="auto"/>
        <w:ind w:firstLine="0"/>
        <w:jc w:val="left"/>
        <w:rPr>
          <w:rFonts w:eastAsiaTheme="majorEastAsia"/>
          <w:b/>
          <w:bCs/>
          <w:noProof/>
          <w:color w:val="000000" w:themeColor="text1"/>
          <w:sz w:val="26"/>
          <w:szCs w:val="26"/>
        </w:rPr>
      </w:pPr>
      <w:r>
        <w:rPr>
          <w:noProof/>
        </w:rPr>
        <w:br w:type="page"/>
      </w:r>
    </w:p>
    <w:p w14:paraId="33C5F083" w14:textId="5446C003" w:rsidR="00A21A0B" w:rsidRPr="00592227" w:rsidRDefault="003F4791" w:rsidP="006D5975">
      <w:pPr>
        <w:pStyle w:val="Cmsor2"/>
        <w:rPr>
          <w:noProof/>
        </w:rPr>
      </w:pPr>
      <w:bookmarkStart w:id="29" w:name="_Toc147484211"/>
      <w:r w:rsidRPr="00592227">
        <w:rPr>
          <w:noProof/>
        </w:rPr>
        <w:lastRenderedPageBreak/>
        <w:t>9.5</w:t>
      </w:r>
      <w:r w:rsidR="00A21A0B" w:rsidRPr="00592227">
        <w:rPr>
          <w:noProof/>
        </w:rPr>
        <w:t xml:space="preserve"> </w:t>
      </w:r>
      <w:r w:rsidR="002D33D9" w:rsidRPr="00592227">
        <w:rPr>
          <w:noProof/>
        </w:rPr>
        <w:t>A vizsgált távhőkörzetek alkalmazkodóképességi jellemzői</w:t>
      </w:r>
      <w:bookmarkEnd w:id="29"/>
    </w:p>
    <w:p w14:paraId="30C80750" w14:textId="77777777" w:rsidR="002D33D9" w:rsidRPr="00DE357F" w:rsidRDefault="002D33D9" w:rsidP="002D33D9">
      <w:r w:rsidRPr="00DE357F">
        <w:t xml:space="preserve">Az alkalmazkodóképesség esetén három jellemző paraméter (a védett és modern felszín alatti vezetékek változásának növekvő aránya (előreszigetelt és közműalagút módosított mátrix) 2010-2019; a szekunder távhővezetékek arányának csökkenése a primer vezetékek arányában (%) 2010-2019; a felhasználói hőközpontok számának változása (%) 2010-2019) tíz éves változása, minőségi javulása vagy </w:t>
      </w:r>
      <w:r w:rsidR="00FC3DA2" w:rsidRPr="00DE357F">
        <w:t xml:space="preserve">épp </w:t>
      </w:r>
      <w:r w:rsidRPr="00DE357F">
        <w:t xml:space="preserve">stagnálása alapján pontoztuk a távhőkörzeteket. </w:t>
      </w:r>
    </w:p>
    <w:p w14:paraId="568C698B" w14:textId="77777777" w:rsidR="002D33D9" w:rsidRPr="00DE357F" w:rsidRDefault="002D33D9" w:rsidP="002D33D9"/>
    <w:tbl>
      <w:tblPr>
        <w:tblW w:w="7800" w:type="dxa"/>
        <w:jc w:val="center"/>
        <w:tblCellMar>
          <w:left w:w="70" w:type="dxa"/>
          <w:right w:w="70" w:type="dxa"/>
        </w:tblCellMar>
        <w:tblLook w:val="04A0" w:firstRow="1" w:lastRow="0" w:firstColumn="1" w:lastColumn="0" w:noHBand="0" w:noVBand="1"/>
      </w:tblPr>
      <w:tblGrid>
        <w:gridCol w:w="2601"/>
        <w:gridCol w:w="1866"/>
        <w:gridCol w:w="1351"/>
        <w:gridCol w:w="1351"/>
        <w:gridCol w:w="631"/>
      </w:tblGrid>
      <w:tr w:rsidR="002D33D9" w:rsidRPr="00592227" w14:paraId="09AC2A88" w14:textId="77777777" w:rsidTr="00592227">
        <w:trPr>
          <w:trHeight w:val="330"/>
          <w:jc w:val="center"/>
        </w:trPr>
        <w:tc>
          <w:tcPr>
            <w:tcW w:w="780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715C88F" w14:textId="77777777" w:rsidR="002D33D9" w:rsidRPr="00592227" w:rsidRDefault="002D33D9" w:rsidP="00CA4BF9">
            <w:pPr>
              <w:widowControl/>
              <w:ind w:firstLine="0"/>
              <w:jc w:val="center"/>
              <w:rPr>
                <w:rFonts w:eastAsia="Times New Roman"/>
                <w:b/>
                <w:bCs/>
                <w:i/>
                <w:iCs/>
                <w:color w:val="000000"/>
                <w:kern w:val="0"/>
                <w:sz w:val="22"/>
                <w:szCs w:val="22"/>
                <w:lang w:eastAsia="hu-HU"/>
                <w14:ligatures w14:val="none"/>
              </w:rPr>
            </w:pPr>
            <w:r w:rsidRPr="00592227">
              <w:rPr>
                <w:rFonts w:eastAsia="Times New Roman"/>
                <w:b/>
                <w:bCs/>
                <w:i/>
                <w:iCs/>
                <w:color w:val="000000"/>
                <w:kern w:val="0"/>
                <w:sz w:val="22"/>
                <w:szCs w:val="22"/>
                <w:lang w:eastAsia="hu-HU"/>
                <w14:ligatures w14:val="none"/>
              </w:rPr>
              <w:t>Primer vezetékek változásának aránya (%) módosított</w:t>
            </w:r>
          </w:p>
        </w:tc>
      </w:tr>
      <w:tr w:rsidR="002D33D9" w:rsidRPr="00592227" w14:paraId="73FE3C53" w14:textId="77777777" w:rsidTr="00592227">
        <w:trPr>
          <w:trHeight w:val="315"/>
          <w:jc w:val="center"/>
        </w:trPr>
        <w:tc>
          <w:tcPr>
            <w:tcW w:w="7800" w:type="dxa"/>
            <w:gridSpan w:val="5"/>
            <w:tcBorders>
              <w:top w:val="nil"/>
              <w:left w:val="single" w:sz="8" w:space="0" w:color="auto"/>
              <w:bottom w:val="single" w:sz="4" w:space="0" w:color="auto"/>
              <w:right w:val="single" w:sz="8" w:space="0" w:color="000000"/>
            </w:tcBorders>
            <w:shd w:val="clear" w:color="auto" w:fill="auto"/>
            <w:noWrap/>
            <w:vAlign w:val="bottom"/>
            <w:hideMark/>
          </w:tcPr>
          <w:p w14:paraId="31078CCC" w14:textId="77777777" w:rsidR="002D33D9" w:rsidRPr="00592227" w:rsidRDefault="002D33D9" w:rsidP="00CA4BF9">
            <w:pPr>
              <w:widowControl/>
              <w:ind w:firstLine="0"/>
              <w:jc w:val="center"/>
              <w:rPr>
                <w:rFonts w:eastAsia="Times New Roman"/>
                <w:b/>
                <w:bCs/>
                <w:color w:val="000000"/>
                <w:kern w:val="0"/>
                <w:sz w:val="22"/>
                <w:szCs w:val="22"/>
                <w:lang w:eastAsia="hu-HU"/>
                <w14:ligatures w14:val="none"/>
              </w:rPr>
            </w:pPr>
            <w:r w:rsidRPr="00592227">
              <w:rPr>
                <w:rFonts w:eastAsia="Times New Roman"/>
                <w:b/>
                <w:bCs/>
                <w:color w:val="000000"/>
                <w:kern w:val="0"/>
                <w:sz w:val="22"/>
                <w:szCs w:val="22"/>
                <w:lang w:eastAsia="hu-HU"/>
                <w14:ligatures w14:val="none"/>
              </w:rPr>
              <w:t>Pontérték</w:t>
            </w:r>
          </w:p>
        </w:tc>
      </w:tr>
      <w:tr w:rsidR="002D33D9" w:rsidRPr="00592227" w14:paraId="16605A1D" w14:textId="77777777" w:rsidTr="00592227">
        <w:trPr>
          <w:trHeight w:val="315"/>
          <w:jc w:val="center"/>
        </w:trPr>
        <w:tc>
          <w:tcPr>
            <w:tcW w:w="2601" w:type="dxa"/>
            <w:vMerge w:val="restart"/>
            <w:tcBorders>
              <w:top w:val="nil"/>
              <w:left w:val="single" w:sz="8" w:space="0" w:color="auto"/>
              <w:bottom w:val="single" w:sz="4" w:space="0" w:color="auto"/>
              <w:right w:val="single" w:sz="4" w:space="0" w:color="auto"/>
            </w:tcBorders>
            <w:shd w:val="clear" w:color="auto" w:fill="auto"/>
            <w:vAlign w:val="center"/>
            <w:hideMark/>
          </w:tcPr>
          <w:p w14:paraId="29B6DC92"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felszín felettiek + vasbeton védőcsatona aránya statikus 2019</w:t>
            </w:r>
          </w:p>
        </w:tc>
        <w:tc>
          <w:tcPr>
            <w:tcW w:w="1866" w:type="dxa"/>
            <w:tcBorders>
              <w:top w:val="nil"/>
              <w:left w:val="nil"/>
              <w:bottom w:val="single" w:sz="4" w:space="0" w:color="auto"/>
              <w:right w:val="single" w:sz="4" w:space="0" w:color="auto"/>
            </w:tcBorders>
            <w:shd w:val="clear" w:color="auto" w:fill="auto"/>
            <w:noWrap/>
            <w:vAlign w:val="bottom"/>
            <w:hideMark/>
          </w:tcPr>
          <w:p w14:paraId="13EDF66C"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71% felett</w:t>
            </w:r>
          </w:p>
        </w:tc>
        <w:tc>
          <w:tcPr>
            <w:tcW w:w="1351" w:type="dxa"/>
            <w:tcBorders>
              <w:top w:val="nil"/>
              <w:left w:val="nil"/>
              <w:bottom w:val="single" w:sz="4" w:space="0" w:color="auto"/>
              <w:right w:val="single" w:sz="4" w:space="0" w:color="auto"/>
            </w:tcBorders>
            <w:shd w:val="clear" w:color="000000" w:fill="ED7D31"/>
            <w:noWrap/>
            <w:vAlign w:val="bottom"/>
            <w:hideMark/>
          </w:tcPr>
          <w:p w14:paraId="2CC21B90"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2</w:t>
            </w:r>
          </w:p>
        </w:tc>
        <w:tc>
          <w:tcPr>
            <w:tcW w:w="1351" w:type="dxa"/>
            <w:tcBorders>
              <w:top w:val="nil"/>
              <w:left w:val="nil"/>
              <w:bottom w:val="single" w:sz="4" w:space="0" w:color="auto"/>
              <w:right w:val="single" w:sz="4" w:space="0" w:color="auto"/>
            </w:tcBorders>
            <w:shd w:val="clear" w:color="000000" w:fill="ED7D31"/>
            <w:noWrap/>
            <w:vAlign w:val="bottom"/>
            <w:hideMark/>
          </w:tcPr>
          <w:p w14:paraId="138328F9"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2</w:t>
            </w:r>
          </w:p>
        </w:tc>
        <w:tc>
          <w:tcPr>
            <w:tcW w:w="631" w:type="dxa"/>
            <w:tcBorders>
              <w:top w:val="nil"/>
              <w:left w:val="nil"/>
              <w:bottom w:val="single" w:sz="4" w:space="0" w:color="auto"/>
              <w:right w:val="single" w:sz="8" w:space="0" w:color="auto"/>
            </w:tcBorders>
            <w:shd w:val="clear" w:color="000000" w:fill="FF0000"/>
            <w:noWrap/>
            <w:vAlign w:val="bottom"/>
            <w:hideMark/>
          </w:tcPr>
          <w:p w14:paraId="065D2414"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1</w:t>
            </w:r>
          </w:p>
        </w:tc>
      </w:tr>
      <w:tr w:rsidR="002D33D9" w:rsidRPr="00592227" w14:paraId="7FBA72DD" w14:textId="77777777" w:rsidTr="00592227">
        <w:trPr>
          <w:trHeight w:val="315"/>
          <w:jc w:val="center"/>
        </w:trPr>
        <w:tc>
          <w:tcPr>
            <w:tcW w:w="2601" w:type="dxa"/>
            <w:vMerge/>
            <w:tcBorders>
              <w:top w:val="nil"/>
              <w:left w:val="single" w:sz="8" w:space="0" w:color="auto"/>
              <w:bottom w:val="single" w:sz="4" w:space="0" w:color="auto"/>
              <w:right w:val="single" w:sz="4" w:space="0" w:color="auto"/>
            </w:tcBorders>
            <w:vAlign w:val="center"/>
            <w:hideMark/>
          </w:tcPr>
          <w:p w14:paraId="1A939487" w14:textId="77777777" w:rsidR="002D33D9" w:rsidRPr="00592227" w:rsidRDefault="002D33D9" w:rsidP="00CA4BF9">
            <w:pPr>
              <w:widowControl/>
              <w:ind w:firstLine="0"/>
              <w:jc w:val="left"/>
              <w:rPr>
                <w:rFonts w:eastAsia="Times New Roman"/>
                <w:color w:val="000000"/>
                <w:kern w:val="0"/>
                <w:sz w:val="22"/>
                <w:szCs w:val="22"/>
                <w:lang w:eastAsia="hu-HU"/>
                <w14:ligatures w14:val="none"/>
              </w:rPr>
            </w:pPr>
          </w:p>
        </w:tc>
        <w:tc>
          <w:tcPr>
            <w:tcW w:w="1866" w:type="dxa"/>
            <w:tcBorders>
              <w:top w:val="nil"/>
              <w:left w:val="nil"/>
              <w:bottom w:val="single" w:sz="4" w:space="0" w:color="auto"/>
              <w:right w:val="single" w:sz="4" w:space="0" w:color="auto"/>
            </w:tcBorders>
            <w:shd w:val="clear" w:color="auto" w:fill="auto"/>
            <w:noWrap/>
            <w:vAlign w:val="bottom"/>
            <w:hideMark/>
          </w:tcPr>
          <w:p w14:paraId="535F8951"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 xml:space="preserve">35-70% </w:t>
            </w:r>
          </w:p>
        </w:tc>
        <w:tc>
          <w:tcPr>
            <w:tcW w:w="1351" w:type="dxa"/>
            <w:tcBorders>
              <w:top w:val="nil"/>
              <w:left w:val="nil"/>
              <w:bottom w:val="single" w:sz="4" w:space="0" w:color="auto"/>
              <w:right w:val="single" w:sz="4" w:space="0" w:color="auto"/>
            </w:tcBorders>
            <w:shd w:val="clear" w:color="000000" w:fill="70AD47"/>
            <w:noWrap/>
            <w:vAlign w:val="bottom"/>
            <w:hideMark/>
          </w:tcPr>
          <w:p w14:paraId="57AB7477"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3</w:t>
            </w:r>
          </w:p>
        </w:tc>
        <w:tc>
          <w:tcPr>
            <w:tcW w:w="1351" w:type="dxa"/>
            <w:tcBorders>
              <w:top w:val="nil"/>
              <w:left w:val="nil"/>
              <w:bottom w:val="single" w:sz="4" w:space="0" w:color="auto"/>
              <w:right w:val="single" w:sz="4" w:space="0" w:color="auto"/>
            </w:tcBorders>
            <w:shd w:val="clear" w:color="000000" w:fill="ED7D31"/>
            <w:noWrap/>
            <w:vAlign w:val="bottom"/>
            <w:hideMark/>
          </w:tcPr>
          <w:p w14:paraId="54B6C890"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2</w:t>
            </w:r>
          </w:p>
        </w:tc>
        <w:tc>
          <w:tcPr>
            <w:tcW w:w="631" w:type="dxa"/>
            <w:tcBorders>
              <w:top w:val="nil"/>
              <w:left w:val="nil"/>
              <w:bottom w:val="single" w:sz="4" w:space="0" w:color="auto"/>
              <w:right w:val="single" w:sz="8" w:space="0" w:color="auto"/>
            </w:tcBorders>
            <w:shd w:val="clear" w:color="000000" w:fill="ED7D31"/>
            <w:noWrap/>
            <w:vAlign w:val="bottom"/>
            <w:hideMark/>
          </w:tcPr>
          <w:p w14:paraId="58A8CB7E"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2</w:t>
            </w:r>
          </w:p>
        </w:tc>
      </w:tr>
      <w:tr w:rsidR="002D33D9" w:rsidRPr="00592227" w14:paraId="2AABDCEB" w14:textId="77777777" w:rsidTr="00592227">
        <w:trPr>
          <w:trHeight w:val="315"/>
          <w:jc w:val="center"/>
        </w:trPr>
        <w:tc>
          <w:tcPr>
            <w:tcW w:w="2601" w:type="dxa"/>
            <w:vMerge/>
            <w:tcBorders>
              <w:top w:val="nil"/>
              <w:left w:val="single" w:sz="8" w:space="0" w:color="auto"/>
              <w:bottom w:val="single" w:sz="4" w:space="0" w:color="auto"/>
              <w:right w:val="single" w:sz="4" w:space="0" w:color="auto"/>
            </w:tcBorders>
            <w:vAlign w:val="center"/>
            <w:hideMark/>
          </w:tcPr>
          <w:p w14:paraId="6AA258D8" w14:textId="77777777" w:rsidR="002D33D9" w:rsidRPr="00592227" w:rsidRDefault="002D33D9" w:rsidP="00CA4BF9">
            <w:pPr>
              <w:widowControl/>
              <w:ind w:firstLine="0"/>
              <w:jc w:val="left"/>
              <w:rPr>
                <w:rFonts w:eastAsia="Times New Roman"/>
                <w:color w:val="000000"/>
                <w:kern w:val="0"/>
                <w:sz w:val="22"/>
                <w:szCs w:val="22"/>
                <w:lang w:eastAsia="hu-HU"/>
                <w14:ligatures w14:val="none"/>
              </w:rPr>
            </w:pPr>
          </w:p>
        </w:tc>
        <w:tc>
          <w:tcPr>
            <w:tcW w:w="1866" w:type="dxa"/>
            <w:tcBorders>
              <w:top w:val="nil"/>
              <w:left w:val="nil"/>
              <w:bottom w:val="single" w:sz="4" w:space="0" w:color="auto"/>
              <w:right w:val="single" w:sz="4" w:space="0" w:color="auto"/>
            </w:tcBorders>
            <w:shd w:val="clear" w:color="auto" w:fill="auto"/>
            <w:noWrap/>
            <w:vAlign w:val="bottom"/>
            <w:hideMark/>
          </w:tcPr>
          <w:p w14:paraId="6632C64D"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 xml:space="preserve">0-35% </w:t>
            </w:r>
          </w:p>
        </w:tc>
        <w:tc>
          <w:tcPr>
            <w:tcW w:w="1351" w:type="dxa"/>
            <w:tcBorders>
              <w:top w:val="nil"/>
              <w:left w:val="nil"/>
              <w:bottom w:val="single" w:sz="4" w:space="0" w:color="auto"/>
              <w:right w:val="single" w:sz="4" w:space="0" w:color="auto"/>
            </w:tcBorders>
            <w:shd w:val="clear" w:color="000000" w:fill="70AD47"/>
            <w:noWrap/>
            <w:vAlign w:val="bottom"/>
            <w:hideMark/>
          </w:tcPr>
          <w:p w14:paraId="297C039E"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3</w:t>
            </w:r>
          </w:p>
        </w:tc>
        <w:tc>
          <w:tcPr>
            <w:tcW w:w="1351" w:type="dxa"/>
            <w:tcBorders>
              <w:top w:val="nil"/>
              <w:left w:val="nil"/>
              <w:bottom w:val="single" w:sz="4" w:space="0" w:color="auto"/>
              <w:right w:val="single" w:sz="4" w:space="0" w:color="auto"/>
            </w:tcBorders>
            <w:shd w:val="clear" w:color="000000" w:fill="70AD47"/>
            <w:noWrap/>
            <w:vAlign w:val="bottom"/>
            <w:hideMark/>
          </w:tcPr>
          <w:p w14:paraId="2A2176D0"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3</w:t>
            </w:r>
          </w:p>
        </w:tc>
        <w:tc>
          <w:tcPr>
            <w:tcW w:w="631" w:type="dxa"/>
            <w:tcBorders>
              <w:top w:val="nil"/>
              <w:left w:val="nil"/>
              <w:bottom w:val="single" w:sz="4" w:space="0" w:color="auto"/>
              <w:right w:val="single" w:sz="8" w:space="0" w:color="auto"/>
            </w:tcBorders>
            <w:shd w:val="clear" w:color="000000" w:fill="ED7D31"/>
            <w:noWrap/>
            <w:vAlign w:val="bottom"/>
            <w:hideMark/>
          </w:tcPr>
          <w:p w14:paraId="2E643A39"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2</w:t>
            </w:r>
          </w:p>
        </w:tc>
      </w:tr>
      <w:tr w:rsidR="002D33D9" w:rsidRPr="00592227" w14:paraId="3679504A" w14:textId="77777777" w:rsidTr="00592227">
        <w:trPr>
          <w:trHeight w:val="315"/>
          <w:jc w:val="center"/>
        </w:trPr>
        <w:tc>
          <w:tcPr>
            <w:tcW w:w="4467" w:type="dxa"/>
            <w:gridSpan w:val="2"/>
            <w:vMerge w:val="restart"/>
            <w:tcBorders>
              <w:top w:val="single" w:sz="4" w:space="0" w:color="auto"/>
              <w:left w:val="single" w:sz="8" w:space="0" w:color="auto"/>
              <w:bottom w:val="single" w:sz="8" w:space="0" w:color="000000"/>
              <w:right w:val="single" w:sz="4" w:space="0" w:color="000000"/>
            </w:tcBorders>
            <w:shd w:val="clear" w:color="auto" w:fill="auto"/>
            <w:vAlign w:val="center"/>
            <w:hideMark/>
          </w:tcPr>
          <w:p w14:paraId="63E4A9CD"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 </w:t>
            </w:r>
          </w:p>
        </w:tc>
        <w:tc>
          <w:tcPr>
            <w:tcW w:w="1351" w:type="dxa"/>
            <w:tcBorders>
              <w:top w:val="nil"/>
              <w:left w:val="nil"/>
              <w:bottom w:val="single" w:sz="4" w:space="0" w:color="auto"/>
              <w:right w:val="single" w:sz="4" w:space="0" w:color="auto"/>
            </w:tcBorders>
            <w:shd w:val="clear" w:color="auto" w:fill="auto"/>
            <w:noWrap/>
            <w:vAlign w:val="bottom"/>
            <w:hideMark/>
          </w:tcPr>
          <w:p w14:paraId="799F4205"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161-350</w:t>
            </w:r>
          </w:p>
        </w:tc>
        <w:tc>
          <w:tcPr>
            <w:tcW w:w="1351" w:type="dxa"/>
            <w:tcBorders>
              <w:top w:val="nil"/>
              <w:left w:val="nil"/>
              <w:bottom w:val="single" w:sz="4" w:space="0" w:color="auto"/>
              <w:right w:val="single" w:sz="4" w:space="0" w:color="auto"/>
            </w:tcBorders>
            <w:shd w:val="clear" w:color="auto" w:fill="auto"/>
            <w:noWrap/>
            <w:vAlign w:val="bottom"/>
            <w:hideMark/>
          </w:tcPr>
          <w:p w14:paraId="7C336A4D"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101-160</w:t>
            </w:r>
          </w:p>
        </w:tc>
        <w:tc>
          <w:tcPr>
            <w:tcW w:w="631" w:type="dxa"/>
            <w:tcBorders>
              <w:top w:val="nil"/>
              <w:left w:val="nil"/>
              <w:bottom w:val="single" w:sz="4" w:space="0" w:color="auto"/>
              <w:right w:val="single" w:sz="8" w:space="0" w:color="auto"/>
            </w:tcBorders>
            <w:shd w:val="clear" w:color="auto" w:fill="auto"/>
            <w:noWrap/>
            <w:vAlign w:val="bottom"/>
            <w:hideMark/>
          </w:tcPr>
          <w:p w14:paraId="02B72823"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100</w:t>
            </w:r>
          </w:p>
        </w:tc>
      </w:tr>
      <w:tr w:rsidR="002D33D9" w:rsidRPr="00592227" w14:paraId="4BBC655F" w14:textId="77777777" w:rsidTr="00592227">
        <w:trPr>
          <w:trHeight w:val="990"/>
          <w:jc w:val="center"/>
        </w:trPr>
        <w:tc>
          <w:tcPr>
            <w:tcW w:w="4467" w:type="dxa"/>
            <w:gridSpan w:val="2"/>
            <w:vMerge/>
            <w:tcBorders>
              <w:top w:val="single" w:sz="4" w:space="0" w:color="auto"/>
              <w:left w:val="single" w:sz="8" w:space="0" w:color="auto"/>
              <w:bottom w:val="single" w:sz="8" w:space="0" w:color="000000"/>
              <w:right w:val="single" w:sz="4" w:space="0" w:color="000000"/>
            </w:tcBorders>
            <w:vAlign w:val="center"/>
            <w:hideMark/>
          </w:tcPr>
          <w:p w14:paraId="6FFBD3EC" w14:textId="77777777" w:rsidR="002D33D9" w:rsidRPr="00592227" w:rsidRDefault="002D33D9" w:rsidP="00CA4BF9">
            <w:pPr>
              <w:widowControl/>
              <w:ind w:firstLine="0"/>
              <w:jc w:val="left"/>
              <w:rPr>
                <w:rFonts w:eastAsia="Times New Roman"/>
                <w:color w:val="000000"/>
                <w:kern w:val="0"/>
                <w:sz w:val="22"/>
                <w:szCs w:val="22"/>
                <w:lang w:eastAsia="hu-HU"/>
                <w14:ligatures w14:val="none"/>
              </w:rPr>
            </w:pPr>
          </w:p>
        </w:tc>
        <w:tc>
          <w:tcPr>
            <w:tcW w:w="3333" w:type="dxa"/>
            <w:gridSpan w:val="3"/>
            <w:tcBorders>
              <w:top w:val="single" w:sz="4" w:space="0" w:color="auto"/>
              <w:left w:val="nil"/>
              <w:bottom w:val="single" w:sz="8" w:space="0" w:color="auto"/>
              <w:right w:val="single" w:sz="8" w:space="0" w:color="000000"/>
            </w:tcBorders>
            <w:shd w:val="clear" w:color="auto" w:fill="auto"/>
            <w:vAlign w:val="center"/>
            <w:hideMark/>
          </w:tcPr>
          <w:p w14:paraId="726C064A"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védett és modern felszín alatti vezetékek változásának növekvő aránya (előreszigetelt és közműalagút) 2010-2019</w:t>
            </w:r>
          </w:p>
        </w:tc>
      </w:tr>
    </w:tbl>
    <w:p w14:paraId="03080DFE" w14:textId="77777777" w:rsidR="002D33D9" w:rsidRPr="00592227" w:rsidRDefault="00241F6D" w:rsidP="00592227">
      <w:pPr>
        <w:ind w:firstLine="0"/>
        <w:jc w:val="center"/>
        <w:rPr>
          <w:i/>
          <w:sz w:val="22"/>
          <w:szCs w:val="22"/>
        </w:rPr>
      </w:pPr>
      <w:r w:rsidRPr="00592227">
        <w:rPr>
          <w:b/>
          <w:i/>
          <w:sz w:val="22"/>
          <w:szCs w:val="22"/>
        </w:rPr>
        <w:t xml:space="preserve">6. </w:t>
      </w:r>
      <w:r w:rsidR="002D33D9" w:rsidRPr="00592227">
        <w:rPr>
          <w:b/>
          <w:i/>
          <w:sz w:val="22"/>
          <w:szCs w:val="22"/>
        </w:rPr>
        <w:t>táblázat</w:t>
      </w:r>
      <w:r w:rsidR="002D33D9" w:rsidRPr="00592227">
        <w:rPr>
          <w:i/>
          <w:sz w:val="22"/>
          <w:szCs w:val="22"/>
        </w:rPr>
        <w:t xml:space="preserve"> A módosított alkalmazkodóképességi mátrix védett és modern felszín alatti vezetékek változásának növekvő aránya vonatkozásában</w:t>
      </w:r>
    </w:p>
    <w:p w14:paraId="30DCCCAD" w14:textId="77777777" w:rsidR="002D33D9" w:rsidRPr="00DE357F" w:rsidRDefault="002D33D9" w:rsidP="002D33D9"/>
    <w:p w14:paraId="75989BF6" w14:textId="77777777" w:rsidR="002D33D9" w:rsidRPr="00DE357F" w:rsidRDefault="002D33D9" w:rsidP="002D33D9">
      <w:r w:rsidRPr="00DE357F">
        <w:t>A maximum kilenc elérhető pont alapján hoztuk létre a háromkategóriás jelzőlámpás besorolást</w:t>
      </w:r>
      <w:r w:rsidR="009A1391" w:rsidRPr="00DE357F">
        <w:t>.</w:t>
      </w:r>
      <w:r w:rsidR="009549DE" w:rsidRPr="00DE357F">
        <w:t xml:space="preserve"> </w:t>
      </w:r>
      <w:r w:rsidRPr="00DE357F">
        <w:t>A további mutatóképzési eljárásokról lásd a módszertani tanulmány vonatkozó alfejezetét.</w:t>
      </w:r>
    </w:p>
    <w:p w14:paraId="3BA24FD4" w14:textId="77777777" w:rsidR="00592227" w:rsidRPr="00DE357F" w:rsidRDefault="00592227" w:rsidP="002D33D9"/>
    <w:tbl>
      <w:tblPr>
        <w:tblW w:w="7780" w:type="dxa"/>
        <w:jc w:val="center"/>
        <w:tblCellMar>
          <w:left w:w="70" w:type="dxa"/>
          <w:right w:w="70" w:type="dxa"/>
        </w:tblCellMar>
        <w:tblLook w:val="04A0" w:firstRow="1" w:lastRow="0" w:firstColumn="1" w:lastColumn="0" w:noHBand="0" w:noVBand="1"/>
      </w:tblPr>
      <w:tblGrid>
        <w:gridCol w:w="1880"/>
        <w:gridCol w:w="2540"/>
        <w:gridCol w:w="3360"/>
      </w:tblGrid>
      <w:tr w:rsidR="002D33D9" w:rsidRPr="00592227" w14:paraId="4DD3DC2A" w14:textId="77777777" w:rsidTr="00592227">
        <w:trPr>
          <w:trHeight w:val="945"/>
          <w:jc w:val="center"/>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AF8DC" w14:textId="77777777" w:rsidR="002D33D9" w:rsidRPr="00592227" w:rsidRDefault="002D33D9" w:rsidP="00CA4BF9">
            <w:pPr>
              <w:widowControl/>
              <w:ind w:firstLine="0"/>
              <w:jc w:val="center"/>
              <w:rPr>
                <w:rFonts w:eastAsia="Times New Roman"/>
                <w:b/>
                <w:bCs/>
                <w:color w:val="000000"/>
                <w:kern w:val="0"/>
                <w:sz w:val="22"/>
                <w:szCs w:val="22"/>
                <w:lang w:eastAsia="hu-HU"/>
                <w14:ligatures w14:val="none"/>
              </w:rPr>
            </w:pPr>
            <w:r w:rsidRPr="00592227">
              <w:rPr>
                <w:rFonts w:eastAsia="Times New Roman"/>
                <w:b/>
                <w:bCs/>
                <w:color w:val="000000"/>
                <w:kern w:val="0"/>
                <w:sz w:val="22"/>
                <w:szCs w:val="22"/>
                <w:lang w:eastAsia="hu-HU"/>
                <w14:ligatures w14:val="none"/>
              </w:rPr>
              <w:t>Alkalmazkodó-képességi pontszám</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54202B2B" w14:textId="77777777" w:rsidR="002D33D9" w:rsidRPr="00592227" w:rsidRDefault="002D33D9" w:rsidP="00CA4BF9">
            <w:pPr>
              <w:widowControl/>
              <w:ind w:firstLine="0"/>
              <w:jc w:val="center"/>
              <w:rPr>
                <w:rFonts w:eastAsia="Times New Roman"/>
                <w:b/>
                <w:bCs/>
                <w:color w:val="000000"/>
                <w:kern w:val="0"/>
                <w:sz w:val="22"/>
                <w:szCs w:val="22"/>
                <w:lang w:eastAsia="hu-HU"/>
                <w14:ligatures w14:val="none"/>
              </w:rPr>
            </w:pPr>
            <w:r w:rsidRPr="00592227">
              <w:rPr>
                <w:rFonts w:eastAsia="Times New Roman"/>
                <w:b/>
                <w:bCs/>
                <w:color w:val="000000"/>
                <w:kern w:val="0"/>
                <w:sz w:val="22"/>
                <w:szCs w:val="22"/>
                <w:lang w:eastAsia="hu-HU"/>
                <w14:ligatures w14:val="none"/>
              </w:rPr>
              <w:t>Jelzőlámpa</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14:paraId="6D8B7D91" w14:textId="77777777" w:rsidR="002D33D9" w:rsidRPr="00592227" w:rsidRDefault="002D33D9" w:rsidP="00CA4BF9">
            <w:pPr>
              <w:widowControl/>
              <w:ind w:firstLine="0"/>
              <w:jc w:val="center"/>
              <w:rPr>
                <w:rFonts w:eastAsia="Times New Roman"/>
                <w:b/>
                <w:bCs/>
                <w:color w:val="000000"/>
                <w:kern w:val="0"/>
                <w:sz w:val="22"/>
                <w:szCs w:val="22"/>
                <w:lang w:eastAsia="hu-HU"/>
                <w14:ligatures w14:val="none"/>
              </w:rPr>
            </w:pPr>
            <w:r w:rsidRPr="00592227">
              <w:rPr>
                <w:rFonts w:eastAsia="Times New Roman"/>
                <w:b/>
                <w:bCs/>
                <w:color w:val="000000"/>
                <w:kern w:val="0"/>
                <w:sz w:val="22"/>
                <w:szCs w:val="22"/>
                <w:lang w:eastAsia="hu-HU"/>
                <w14:ligatures w14:val="none"/>
              </w:rPr>
              <w:t>Besorolás</w:t>
            </w:r>
          </w:p>
        </w:tc>
      </w:tr>
      <w:tr w:rsidR="002D33D9" w:rsidRPr="00592227" w14:paraId="6209E9BC" w14:textId="77777777" w:rsidTr="00592227">
        <w:trPr>
          <w:trHeight w:val="315"/>
          <w:jc w:val="center"/>
        </w:trPr>
        <w:tc>
          <w:tcPr>
            <w:tcW w:w="1880" w:type="dxa"/>
            <w:tcBorders>
              <w:top w:val="nil"/>
              <w:left w:val="single" w:sz="4" w:space="0" w:color="auto"/>
              <w:bottom w:val="single" w:sz="4" w:space="0" w:color="auto"/>
              <w:right w:val="single" w:sz="4" w:space="0" w:color="auto"/>
            </w:tcBorders>
            <w:shd w:val="clear" w:color="000000" w:fill="FFFF00"/>
            <w:vAlign w:val="center"/>
            <w:hideMark/>
          </w:tcPr>
          <w:p w14:paraId="2315474C"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3-4</w:t>
            </w:r>
          </w:p>
        </w:tc>
        <w:tc>
          <w:tcPr>
            <w:tcW w:w="2540" w:type="dxa"/>
            <w:tcBorders>
              <w:top w:val="nil"/>
              <w:left w:val="nil"/>
              <w:bottom w:val="single" w:sz="4" w:space="0" w:color="auto"/>
              <w:right w:val="single" w:sz="4" w:space="0" w:color="auto"/>
            </w:tcBorders>
            <w:shd w:val="clear" w:color="auto" w:fill="auto"/>
            <w:vAlign w:val="center"/>
            <w:hideMark/>
          </w:tcPr>
          <w:p w14:paraId="3C27FF39"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1 (piros)</w:t>
            </w:r>
          </w:p>
        </w:tc>
        <w:tc>
          <w:tcPr>
            <w:tcW w:w="3360" w:type="dxa"/>
            <w:tcBorders>
              <w:top w:val="nil"/>
              <w:left w:val="nil"/>
              <w:bottom w:val="single" w:sz="4" w:space="0" w:color="auto"/>
              <w:right w:val="single" w:sz="4" w:space="0" w:color="auto"/>
            </w:tcBorders>
            <w:shd w:val="clear" w:color="auto" w:fill="auto"/>
            <w:vAlign w:val="center"/>
            <w:hideMark/>
          </w:tcPr>
          <w:p w14:paraId="782B2C06"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gyenge alkalmazkodóképesség</w:t>
            </w:r>
          </w:p>
        </w:tc>
      </w:tr>
      <w:tr w:rsidR="002D33D9" w:rsidRPr="00592227" w14:paraId="0EE9D2CB" w14:textId="77777777" w:rsidTr="00592227">
        <w:trPr>
          <w:trHeight w:val="315"/>
          <w:jc w:val="center"/>
        </w:trPr>
        <w:tc>
          <w:tcPr>
            <w:tcW w:w="1880" w:type="dxa"/>
            <w:tcBorders>
              <w:top w:val="nil"/>
              <w:left w:val="single" w:sz="4" w:space="0" w:color="auto"/>
              <w:bottom w:val="single" w:sz="4" w:space="0" w:color="auto"/>
              <w:right w:val="single" w:sz="4" w:space="0" w:color="auto"/>
            </w:tcBorders>
            <w:shd w:val="clear" w:color="000000" w:fill="FFFF00"/>
            <w:vAlign w:val="center"/>
            <w:hideMark/>
          </w:tcPr>
          <w:p w14:paraId="77EDE0BD"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5-6</w:t>
            </w:r>
          </w:p>
        </w:tc>
        <w:tc>
          <w:tcPr>
            <w:tcW w:w="2540" w:type="dxa"/>
            <w:tcBorders>
              <w:top w:val="nil"/>
              <w:left w:val="nil"/>
              <w:bottom w:val="single" w:sz="4" w:space="0" w:color="auto"/>
              <w:right w:val="single" w:sz="4" w:space="0" w:color="auto"/>
            </w:tcBorders>
            <w:shd w:val="clear" w:color="auto" w:fill="auto"/>
            <w:vAlign w:val="center"/>
            <w:hideMark/>
          </w:tcPr>
          <w:p w14:paraId="44096FC8"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2 (sárga)</w:t>
            </w:r>
          </w:p>
        </w:tc>
        <w:tc>
          <w:tcPr>
            <w:tcW w:w="3360" w:type="dxa"/>
            <w:tcBorders>
              <w:top w:val="nil"/>
              <w:left w:val="nil"/>
              <w:bottom w:val="single" w:sz="4" w:space="0" w:color="auto"/>
              <w:right w:val="single" w:sz="4" w:space="0" w:color="auto"/>
            </w:tcBorders>
            <w:shd w:val="clear" w:color="auto" w:fill="auto"/>
            <w:vAlign w:val="center"/>
            <w:hideMark/>
          </w:tcPr>
          <w:p w14:paraId="498F8664"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közepes alkalmazkodóképesség</w:t>
            </w:r>
          </w:p>
        </w:tc>
      </w:tr>
      <w:tr w:rsidR="002D33D9" w:rsidRPr="00592227" w14:paraId="0CC70AEB" w14:textId="77777777" w:rsidTr="00592227">
        <w:trPr>
          <w:trHeight w:val="315"/>
          <w:jc w:val="center"/>
        </w:trPr>
        <w:tc>
          <w:tcPr>
            <w:tcW w:w="1880" w:type="dxa"/>
            <w:tcBorders>
              <w:top w:val="nil"/>
              <w:left w:val="single" w:sz="4" w:space="0" w:color="auto"/>
              <w:bottom w:val="single" w:sz="4" w:space="0" w:color="auto"/>
              <w:right w:val="single" w:sz="4" w:space="0" w:color="auto"/>
            </w:tcBorders>
            <w:shd w:val="clear" w:color="000000" w:fill="FFFF00"/>
            <w:vAlign w:val="center"/>
            <w:hideMark/>
          </w:tcPr>
          <w:p w14:paraId="4CE3A48E" w14:textId="77777777" w:rsidR="002D33D9" w:rsidRPr="00592227" w:rsidRDefault="002D33D9" w:rsidP="00CA4BF9">
            <w:pPr>
              <w:widowControl/>
              <w:ind w:firstLine="0"/>
              <w:jc w:val="center"/>
              <w:rPr>
                <w:rFonts w:eastAsia="Times New Roman"/>
                <w:kern w:val="0"/>
                <w:sz w:val="22"/>
                <w:szCs w:val="22"/>
                <w:lang w:eastAsia="hu-HU"/>
                <w14:ligatures w14:val="none"/>
              </w:rPr>
            </w:pPr>
            <w:r w:rsidRPr="00592227">
              <w:rPr>
                <w:rFonts w:eastAsia="Times New Roman"/>
                <w:kern w:val="0"/>
                <w:sz w:val="22"/>
                <w:szCs w:val="22"/>
                <w:lang w:eastAsia="hu-HU"/>
                <w14:ligatures w14:val="none"/>
              </w:rPr>
              <w:t>7-9</w:t>
            </w:r>
          </w:p>
        </w:tc>
        <w:tc>
          <w:tcPr>
            <w:tcW w:w="2540" w:type="dxa"/>
            <w:tcBorders>
              <w:top w:val="nil"/>
              <w:left w:val="nil"/>
              <w:bottom w:val="single" w:sz="4" w:space="0" w:color="auto"/>
              <w:right w:val="single" w:sz="4" w:space="0" w:color="auto"/>
            </w:tcBorders>
            <w:shd w:val="clear" w:color="auto" w:fill="auto"/>
            <w:vAlign w:val="center"/>
            <w:hideMark/>
          </w:tcPr>
          <w:p w14:paraId="6752A2CF"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3 (zöld)</w:t>
            </w:r>
          </w:p>
        </w:tc>
        <w:tc>
          <w:tcPr>
            <w:tcW w:w="3360" w:type="dxa"/>
            <w:tcBorders>
              <w:top w:val="nil"/>
              <w:left w:val="nil"/>
              <w:bottom w:val="single" w:sz="4" w:space="0" w:color="auto"/>
              <w:right w:val="single" w:sz="4" w:space="0" w:color="auto"/>
            </w:tcBorders>
            <w:shd w:val="clear" w:color="auto" w:fill="auto"/>
            <w:vAlign w:val="center"/>
            <w:hideMark/>
          </w:tcPr>
          <w:p w14:paraId="6DBB3F50" w14:textId="77777777" w:rsidR="002D33D9" w:rsidRPr="00592227" w:rsidRDefault="002D33D9" w:rsidP="00CA4BF9">
            <w:pPr>
              <w:widowControl/>
              <w:ind w:firstLine="0"/>
              <w:jc w:val="center"/>
              <w:rPr>
                <w:rFonts w:eastAsia="Times New Roman"/>
                <w:color w:val="000000"/>
                <w:kern w:val="0"/>
                <w:sz w:val="22"/>
                <w:szCs w:val="22"/>
                <w:lang w:eastAsia="hu-HU"/>
                <w14:ligatures w14:val="none"/>
              </w:rPr>
            </w:pPr>
            <w:r w:rsidRPr="00592227">
              <w:rPr>
                <w:rFonts w:eastAsia="Times New Roman"/>
                <w:color w:val="000000"/>
                <w:kern w:val="0"/>
                <w:sz w:val="22"/>
                <w:szCs w:val="22"/>
                <w:lang w:eastAsia="hu-HU"/>
                <w14:ligatures w14:val="none"/>
              </w:rPr>
              <w:t>jó alkalmazkodó képesség</w:t>
            </w:r>
          </w:p>
        </w:tc>
      </w:tr>
    </w:tbl>
    <w:p w14:paraId="7F2F08D9" w14:textId="77777777" w:rsidR="002D33D9" w:rsidRPr="00592227" w:rsidRDefault="00241F6D" w:rsidP="002D33D9">
      <w:pPr>
        <w:rPr>
          <w:i/>
          <w:sz w:val="22"/>
          <w:szCs w:val="22"/>
        </w:rPr>
      </w:pPr>
      <w:r w:rsidRPr="00592227">
        <w:rPr>
          <w:b/>
          <w:i/>
          <w:sz w:val="22"/>
          <w:szCs w:val="22"/>
        </w:rPr>
        <w:t>7</w:t>
      </w:r>
      <w:r w:rsidR="002D33D9" w:rsidRPr="00592227">
        <w:rPr>
          <w:b/>
          <w:i/>
          <w:sz w:val="22"/>
          <w:szCs w:val="22"/>
        </w:rPr>
        <w:t>. táblázat</w:t>
      </w:r>
      <w:r w:rsidR="002D33D9" w:rsidRPr="00592227">
        <w:rPr>
          <w:i/>
          <w:sz w:val="22"/>
          <w:szCs w:val="22"/>
        </w:rPr>
        <w:t xml:space="preserve"> Az alkalmazkodóképességi besorolás kategóriái</w:t>
      </w:r>
      <w:r w:rsidR="00943420" w:rsidRPr="00592227">
        <w:rPr>
          <w:i/>
          <w:sz w:val="22"/>
          <w:szCs w:val="22"/>
        </w:rPr>
        <w:t xml:space="preserve"> a távhőkörzetek esetén</w:t>
      </w:r>
    </w:p>
    <w:p w14:paraId="36AF6883" w14:textId="77777777" w:rsidR="009A1391" w:rsidRPr="00DE357F" w:rsidRDefault="009A1391" w:rsidP="002D33D9"/>
    <w:p w14:paraId="680B1334" w14:textId="77777777" w:rsidR="009A1391" w:rsidRPr="00DE357F" w:rsidRDefault="009A1391" w:rsidP="002D33D9">
      <w:r w:rsidRPr="00DE357F">
        <w:t xml:space="preserve">A legtöbb hazai nagyváros távhőkörzete az indikátorok alapján közepes alkalmazkodóképességűnek bizonyult (12 db).  Jó alkalmazkodóképességűek azok, amelyek az elmúlt évtizedben jelentősen modernizálták infrastrukturális rendszereiket. Jó példái ennek a Dunántúlon: Dorog, Kaposvár, Pécs, Sopron, míg a Dunától keletre Debrecen, Kecskemét, Nyíregyháza. A kialakított komplex mutató és az évtizedes </w:t>
      </w:r>
      <w:r w:rsidR="00E47707" w:rsidRPr="00DE357F">
        <w:t xml:space="preserve">modernizációs </w:t>
      </w:r>
      <w:r w:rsidRPr="00DE357F">
        <w:t>teljesítménye</w:t>
      </w:r>
      <w:r w:rsidR="007565DF" w:rsidRPr="00DE357F">
        <w:t>k</w:t>
      </w:r>
      <w:r w:rsidRPr="00DE357F">
        <w:t xml:space="preserve"> alapján gyengébb az alkalmazkodóképessége 7 távhőkö</w:t>
      </w:r>
      <w:r w:rsidR="00E47707" w:rsidRPr="00DE357F">
        <w:t>rzet</w:t>
      </w:r>
      <w:r w:rsidRPr="00DE357F">
        <w:t>nek</w:t>
      </w:r>
      <w:r w:rsidR="00E47707" w:rsidRPr="00DE357F">
        <w:t xml:space="preserve"> (pl. Szeged, Tiszaújváros, Százhalombatta, Veszprém, Komló). </w:t>
      </w:r>
    </w:p>
    <w:p w14:paraId="54C529ED" w14:textId="77777777" w:rsidR="002D33D9" w:rsidRPr="00DE357F" w:rsidRDefault="002D33D9" w:rsidP="002D33D9"/>
    <w:p w14:paraId="1C0157D6" w14:textId="77777777" w:rsidR="00C46733" w:rsidRPr="00592227" w:rsidRDefault="00C46733" w:rsidP="00592227">
      <w:pPr>
        <w:ind w:firstLine="0"/>
        <w:jc w:val="center"/>
        <w:rPr>
          <w:sz w:val="22"/>
          <w:szCs w:val="22"/>
        </w:rPr>
      </w:pPr>
      <w:r w:rsidRPr="00592227">
        <w:rPr>
          <w:noProof/>
          <w:sz w:val="22"/>
          <w:szCs w:val="22"/>
          <w:lang w:eastAsia="hu-HU"/>
          <w14:ligatures w14:val="none"/>
        </w:rPr>
        <w:lastRenderedPageBreak/>
        <w:drawing>
          <wp:inline distT="0" distB="0" distL="0" distR="0" wp14:anchorId="539D6B6C" wp14:editId="592EDF15">
            <wp:extent cx="5760720" cy="3728720"/>
            <wp:effectExtent l="0" t="0" r="0" b="508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vho_alk_kor_23082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3728720"/>
                    </a:xfrm>
                    <a:prstGeom prst="rect">
                      <a:avLst/>
                    </a:prstGeom>
                  </pic:spPr>
                </pic:pic>
              </a:graphicData>
            </a:graphic>
          </wp:inline>
        </w:drawing>
      </w:r>
    </w:p>
    <w:p w14:paraId="285F4B1D" w14:textId="77777777" w:rsidR="00CA4BF9" w:rsidRPr="00592227" w:rsidRDefault="00B026E6" w:rsidP="00592227">
      <w:pPr>
        <w:ind w:firstLine="0"/>
        <w:jc w:val="center"/>
        <w:rPr>
          <w:i/>
          <w:sz w:val="22"/>
          <w:szCs w:val="22"/>
        </w:rPr>
      </w:pPr>
      <w:r w:rsidRPr="00592227">
        <w:rPr>
          <w:b/>
          <w:i/>
          <w:sz w:val="22"/>
          <w:szCs w:val="22"/>
        </w:rPr>
        <w:t>25</w:t>
      </w:r>
      <w:r w:rsidR="00CA4BF9" w:rsidRPr="00592227">
        <w:rPr>
          <w:b/>
          <w:i/>
          <w:sz w:val="22"/>
          <w:szCs w:val="22"/>
        </w:rPr>
        <w:t>. ábra</w:t>
      </w:r>
      <w:r w:rsidR="00CA4BF9" w:rsidRPr="00592227">
        <w:rPr>
          <w:i/>
          <w:sz w:val="22"/>
          <w:szCs w:val="22"/>
        </w:rPr>
        <w:t xml:space="preserve"> A vizsgált távhőkörzetek alkalmazkodóképességi besorolása a komplex mutató alapján</w:t>
      </w:r>
    </w:p>
    <w:p w14:paraId="526770CE" w14:textId="77777777" w:rsidR="00CA4BF9" w:rsidRPr="00DE357F" w:rsidRDefault="00CA4BF9" w:rsidP="00DE357F"/>
    <w:p w14:paraId="5E7D5FBA" w14:textId="77777777" w:rsidR="00A21A0B" w:rsidRPr="00592227" w:rsidRDefault="003F4791" w:rsidP="006D5975">
      <w:pPr>
        <w:pStyle w:val="Cmsor2"/>
      </w:pPr>
      <w:bookmarkStart w:id="30" w:name="_Toc147484212"/>
      <w:r w:rsidRPr="00592227">
        <w:t xml:space="preserve">9.6. A </w:t>
      </w:r>
      <w:r w:rsidR="00B026E6" w:rsidRPr="00592227">
        <w:t xml:space="preserve">vizsgált nagy hőkiadású távhőkörzetek esetében </w:t>
      </w:r>
      <w:r w:rsidRPr="00592227">
        <w:t>várható</w:t>
      </w:r>
      <w:r w:rsidR="00A21A0B" w:rsidRPr="00592227">
        <w:t xml:space="preserve"> </w:t>
      </w:r>
      <w:r w:rsidRPr="00592227">
        <w:t>k</w:t>
      </w:r>
      <w:r w:rsidR="00A21A0B" w:rsidRPr="00592227">
        <w:t>omplex sérülékenység</w:t>
      </w:r>
      <w:bookmarkEnd w:id="30"/>
    </w:p>
    <w:p w14:paraId="2FF5829F" w14:textId="77777777" w:rsidR="00B719AF" w:rsidRPr="006D5975" w:rsidRDefault="00CA4BF9" w:rsidP="00B719AF">
      <w:r w:rsidRPr="006D5975">
        <w:t xml:space="preserve">Az éghajlati és földtani kitettségi, valamint a komplex érzékenységi és alkalmazkodóképességi mutatókból kerültek kialakításra az éghajlati és földtani sérülékenységi </w:t>
      </w:r>
      <w:r w:rsidR="001C39AF" w:rsidRPr="006D5975">
        <w:t xml:space="preserve">indikátorok és </w:t>
      </w:r>
      <w:r w:rsidRPr="006D5975">
        <w:t>térképek a nagy hőkiadású távhőkörzetek távhővezetékei vonatkozásában. Ennek besorolását az alábbi 4 tematikus térkép tartalmazza</w:t>
      </w:r>
      <w:r w:rsidR="00B719AF" w:rsidRPr="006D5975">
        <w:t xml:space="preserve"> (26.</w:t>
      </w:r>
      <w:r w:rsidR="000A0CFA" w:rsidRPr="006D5975">
        <w:t xml:space="preserve"> </w:t>
      </w:r>
      <w:r w:rsidR="00B719AF" w:rsidRPr="006D5975">
        <w:t>ábra)</w:t>
      </w:r>
      <w:r w:rsidRPr="006D5975">
        <w:t xml:space="preserve">.  </w:t>
      </w:r>
      <w:r w:rsidR="00B719AF" w:rsidRPr="006D5975">
        <w:t xml:space="preserve">A komplex sérülékenység számításához szükséges képletet a módszertani tanulmány tartalmazza, ám a számítások elvégzése és a számított adatok áttekintése után tudtuk csak létrehozni a háromosztatú úgynevezett jelzőlámpa besorolást (elsősorban az elemszám eloszlását figyelembe véve), amelynek kategóriái: </w:t>
      </w:r>
      <w:r w:rsidR="00BA57BC" w:rsidRPr="006D5975">
        <w:t>1-6</w:t>
      </w:r>
      <w:r w:rsidR="00B719AF" w:rsidRPr="006D5975">
        <w:t xml:space="preserve"> pont várhatóan kevéssé sérülékeny</w:t>
      </w:r>
      <w:r w:rsidR="00BA57BC" w:rsidRPr="006D5975">
        <w:t>, 7-16</w:t>
      </w:r>
      <w:r w:rsidR="00B719AF" w:rsidRPr="006D5975">
        <w:t xml:space="preserve"> pont közt közepesen sérülékeny</w:t>
      </w:r>
      <w:r w:rsidR="00BA57BC" w:rsidRPr="006D5975">
        <w:t>, 17</w:t>
      </w:r>
      <w:r w:rsidR="00B719AF" w:rsidRPr="006D5975">
        <w:t xml:space="preserve"> pont felett erősen sérülékeny. </w:t>
      </w:r>
    </w:p>
    <w:p w14:paraId="763B72EC" w14:textId="77777777" w:rsidR="00CA4BF9" w:rsidRPr="006D5975" w:rsidRDefault="00CA4BF9" w:rsidP="00CA4BF9">
      <w:r w:rsidRPr="006D5975">
        <w:t xml:space="preserve">Az éghajlati modellezések változó paramétereit figyelembe véve megállapítható, hogy középtávon (2021-2050) </w:t>
      </w:r>
      <w:r w:rsidR="001C39AF" w:rsidRPr="006D5975">
        <w:t xml:space="preserve">az optimista forgatókönyv (RCP 4.5) alapján </w:t>
      </w:r>
      <w:r w:rsidR="0058519F" w:rsidRPr="006D5975">
        <w:t xml:space="preserve">a </w:t>
      </w:r>
      <w:r w:rsidRPr="006D5975">
        <w:t>hazai távhőkörzet</w:t>
      </w:r>
      <w:r w:rsidR="0058519F" w:rsidRPr="006D5975">
        <w:t>ek</w:t>
      </w:r>
      <w:r w:rsidR="001C39AF" w:rsidRPr="006D5975">
        <w:t xml:space="preserve"> 55%-a</w:t>
      </w:r>
      <w:r w:rsidRPr="006D5975">
        <w:t xml:space="preserve"> (16 db, például Budapest és agglomerációja, Debrecen, Kecskemét, Miskolc, Szeged, Pécs) esetén várhatóan alacsony lesz a komplex sérülékenység. Kivételt (várhatóan közepes s</w:t>
      </w:r>
      <w:r w:rsidR="001C39AF" w:rsidRPr="006D5975">
        <w:t>érülékenység) 8 körzet jelent,</w:t>
      </w:r>
      <w:r w:rsidRPr="006D5975">
        <w:t xml:space="preserve"> </w:t>
      </w:r>
      <w:r w:rsidR="001C39AF" w:rsidRPr="006D5975">
        <w:t>például Százhalombatta, Szombathely, Tatabánya, illetve Eger, Miskolc (Belváros), Tiszaújváros</w:t>
      </w:r>
      <w:r w:rsidRPr="006D5975">
        <w:t xml:space="preserve">. </w:t>
      </w:r>
      <w:r w:rsidR="001C39AF" w:rsidRPr="006D5975">
        <w:t>Erős sérülékenységet ez esetben Komló mutathat. A középtávú pesszimista forgatókönyv (RCP 8.5) előrejelzése alapján markáns a különbség, nő az erősen sérülékeny körzetek száma (1-ről 5-re) és valamelyest csökken a kevéssé sérülékenyeké (16-ról 14-re).</w:t>
      </w:r>
    </w:p>
    <w:p w14:paraId="4FCB88A4" w14:textId="77777777" w:rsidR="00CA4BF9" w:rsidRPr="006D5975" w:rsidRDefault="00CA4BF9" w:rsidP="00CA4BF9">
      <w:r w:rsidRPr="006D5975">
        <w:t xml:space="preserve">A hosszútávú (2071-2100) előrejelzések már </w:t>
      </w:r>
      <w:r w:rsidR="0058519F" w:rsidRPr="006D5975">
        <w:t>markáns és közepes erősségű</w:t>
      </w:r>
      <w:r w:rsidRPr="006D5975">
        <w:t xml:space="preserve"> </w:t>
      </w:r>
      <w:r w:rsidR="0058519F" w:rsidRPr="006D5975">
        <w:t xml:space="preserve">változásokat </w:t>
      </w:r>
      <w:r w:rsidRPr="006D5975">
        <w:t xml:space="preserve">vetítenek előre például a pesszimista éghajlati forgatókönyv (RCP 8.5) alapján. Kisebb arányban csökken majd a várhatóan </w:t>
      </w:r>
      <w:r w:rsidR="0058519F" w:rsidRPr="006D5975">
        <w:t>kevésbé sérülékeny</w:t>
      </w:r>
      <w:r w:rsidRPr="006D5975">
        <w:t xml:space="preserve"> kategóriába sorolt körzetek száma</w:t>
      </w:r>
      <w:r w:rsidR="0058519F" w:rsidRPr="006D5975">
        <w:t xml:space="preserve"> (10 db-ra, 34 %-ra).</w:t>
      </w:r>
      <w:r w:rsidRPr="006D5975">
        <w:t xml:space="preserve"> </w:t>
      </w:r>
      <w:r w:rsidR="0058519F" w:rsidRPr="006D5975">
        <w:t>Budapesten és az agglomerációban várhatóan 5 ilyen körzet marad.</w:t>
      </w:r>
      <w:r w:rsidRPr="006D5975">
        <w:t xml:space="preserve"> Hosszútávon is </w:t>
      </w:r>
      <w:r w:rsidR="0058519F" w:rsidRPr="006D5975">
        <w:t>erősen sérülékeny</w:t>
      </w:r>
      <w:r w:rsidRPr="006D5975">
        <w:t xml:space="preserve"> kategóriába került besorolásra</w:t>
      </w:r>
      <w:r w:rsidR="0058519F" w:rsidRPr="006D5975">
        <w:t xml:space="preserve"> 6 (főleg volt szocialista) város: Komló, Százhalombatta, Szombathely (mindkét körzet), Tatabánya, Tiszaújváros.</w:t>
      </w:r>
    </w:p>
    <w:p w14:paraId="6E36661F" w14:textId="77777777" w:rsidR="00CA4BF9" w:rsidRPr="006D5975" w:rsidRDefault="00CA4BF9" w:rsidP="006D5975"/>
    <w:p w14:paraId="38645DC7" w14:textId="77777777" w:rsidR="00EB300D" w:rsidRPr="00592227" w:rsidRDefault="00D97CBA" w:rsidP="00592227">
      <w:pPr>
        <w:pStyle w:val="TJ3"/>
        <w:ind w:left="0"/>
        <w:jc w:val="center"/>
        <w:rPr>
          <w:sz w:val="22"/>
          <w:szCs w:val="22"/>
        </w:rPr>
      </w:pPr>
      <w:r w:rsidRPr="00592227">
        <w:rPr>
          <w:noProof/>
          <w:sz w:val="22"/>
          <w:szCs w:val="22"/>
          <w:lang w:eastAsia="hu-HU"/>
          <w14:ligatures w14:val="none"/>
        </w:rPr>
        <w:drawing>
          <wp:inline distT="0" distB="0" distL="0" distR="0" wp14:anchorId="76310217" wp14:editId="512A27E9">
            <wp:extent cx="5760720" cy="355092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vho_serul_fekvo_kor_23082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3550920"/>
                    </a:xfrm>
                    <a:prstGeom prst="rect">
                      <a:avLst/>
                    </a:prstGeom>
                  </pic:spPr>
                </pic:pic>
              </a:graphicData>
            </a:graphic>
          </wp:inline>
        </w:drawing>
      </w:r>
    </w:p>
    <w:p w14:paraId="728E879B" w14:textId="77777777" w:rsidR="001F6BB1" w:rsidRPr="00592227" w:rsidRDefault="00B026E6" w:rsidP="00592227">
      <w:pPr>
        <w:ind w:firstLine="0"/>
        <w:jc w:val="center"/>
        <w:rPr>
          <w:i/>
          <w:sz w:val="22"/>
          <w:szCs w:val="22"/>
        </w:rPr>
      </w:pPr>
      <w:r w:rsidRPr="00592227">
        <w:rPr>
          <w:b/>
          <w:i/>
          <w:sz w:val="22"/>
          <w:szCs w:val="22"/>
        </w:rPr>
        <w:t>26</w:t>
      </w:r>
      <w:r w:rsidR="001621FD" w:rsidRPr="00592227">
        <w:rPr>
          <w:b/>
          <w:i/>
          <w:sz w:val="22"/>
          <w:szCs w:val="22"/>
        </w:rPr>
        <w:t>. ábra</w:t>
      </w:r>
      <w:r w:rsidR="001621FD" w:rsidRPr="00592227">
        <w:rPr>
          <w:i/>
          <w:sz w:val="22"/>
          <w:szCs w:val="22"/>
        </w:rPr>
        <w:t xml:space="preserve"> A vizsgált távhőkörzetek éghajlati és földtani sérülékenységre vonatkozó besorolása a komplex indikátorok alapján</w:t>
      </w:r>
    </w:p>
    <w:p w14:paraId="71B93EF6" w14:textId="77777777" w:rsidR="00EB300D" w:rsidRPr="00592227" w:rsidRDefault="003F4791" w:rsidP="006D5975">
      <w:pPr>
        <w:pStyle w:val="Cmsor1"/>
      </w:pPr>
      <w:bookmarkStart w:id="31" w:name="_Toc147484213"/>
      <w:r w:rsidRPr="00592227">
        <w:lastRenderedPageBreak/>
        <w:t>10</w:t>
      </w:r>
      <w:r w:rsidR="00137D84" w:rsidRPr="00592227">
        <w:t xml:space="preserve">. </w:t>
      </w:r>
      <w:r w:rsidR="00EB300D" w:rsidRPr="00592227">
        <w:t>A nagyfeszültségű átviteli hálózatot érintő várható éghajlati és földtani hatások</w:t>
      </w:r>
      <w:bookmarkEnd w:id="31"/>
    </w:p>
    <w:p w14:paraId="135E58C4" w14:textId="77777777" w:rsidR="00250ADB" w:rsidRPr="00592227" w:rsidRDefault="00250ADB" w:rsidP="00592227"/>
    <w:p w14:paraId="7D5B21F2" w14:textId="77777777" w:rsidR="00250ADB" w:rsidRPr="00592227" w:rsidRDefault="00250ADB" w:rsidP="00592227">
      <w:r w:rsidRPr="00592227">
        <w:t>A MAVIR által működtetett nagyfeszültségű átviteli hálózatra,</w:t>
      </w:r>
      <w:r w:rsidR="0011518A" w:rsidRPr="00592227">
        <w:t xml:space="preserve"> mint felszíni energetikai rendszerre</w:t>
      </w:r>
      <w:r w:rsidRPr="00592227">
        <w:t xml:space="preserve"> annak egész pontosan 119 vezetékszakaszára végeztünk</w:t>
      </w:r>
      <w:r w:rsidR="001F6BB1" w:rsidRPr="00592227">
        <w:t xml:space="preserve"> komplex éghajlati és földtani hatásvizsgálatot és térképezést a CIVAS modell logikai rendszerében</w:t>
      </w:r>
      <w:r w:rsidR="003D6828" w:rsidRPr="00592227">
        <w:footnoteReference w:id="10"/>
      </w:r>
      <w:r w:rsidR="001F6BB1" w:rsidRPr="00592227">
        <w:t xml:space="preserve">. A fő eredményeket az alábbiakban foglaljuk össze. </w:t>
      </w:r>
      <w:r w:rsidR="009C524F" w:rsidRPr="00592227">
        <w:footnoteReference w:id="11"/>
      </w:r>
    </w:p>
    <w:p w14:paraId="62EBF9A1" w14:textId="119C60FD" w:rsidR="006D5975" w:rsidRDefault="006D5975" w:rsidP="0018763A"/>
    <w:p w14:paraId="2308B813" w14:textId="77777777" w:rsidR="00340557" w:rsidRPr="00592227" w:rsidRDefault="003F4791" w:rsidP="006D5975">
      <w:pPr>
        <w:pStyle w:val="Cmsor2"/>
      </w:pPr>
      <w:bookmarkStart w:id="32" w:name="_Toc147484214"/>
      <w:r w:rsidRPr="00592227">
        <w:t>10</w:t>
      </w:r>
      <w:r w:rsidR="006D083F" w:rsidRPr="00592227">
        <w:t xml:space="preserve">.1 A </w:t>
      </w:r>
      <w:r w:rsidR="00651D5E" w:rsidRPr="00592227">
        <w:t>kialakított h</w:t>
      </w:r>
      <w:r w:rsidR="00340557" w:rsidRPr="00592227">
        <w:t>atáslánc</w:t>
      </w:r>
      <w:bookmarkEnd w:id="32"/>
    </w:p>
    <w:p w14:paraId="709E88E4" w14:textId="77777777" w:rsidR="00877B84" w:rsidRPr="00592227" w:rsidRDefault="00877B84" w:rsidP="00592227">
      <w:pPr>
        <w:keepNext/>
        <w:ind w:firstLine="0"/>
        <w:jc w:val="center"/>
        <w:rPr>
          <w:sz w:val="22"/>
          <w:szCs w:val="22"/>
        </w:rPr>
      </w:pPr>
      <w:r w:rsidRPr="00592227">
        <w:rPr>
          <w:noProof/>
          <w:sz w:val="22"/>
          <w:szCs w:val="22"/>
          <w:lang w:eastAsia="hu-HU"/>
          <w14:ligatures w14:val="none"/>
        </w:rPr>
        <w:drawing>
          <wp:inline distT="0" distB="0" distL="0" distR="0" wp14:anchorId="594A03B7" wp14:editId="077D56CE">
            <wp:extent cx="4575600" cy="3430800"/>
            <wp:effectExtent l="0" t="0" r="0" b="0"/>
            <wp:docPr id="28" name="Kép 28"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szöveg, képernyőkép, Betűtípus, szám látható&#10;&#10;Automatikusan generált leírás"/>
                    <pic:cNvPicPr/>
                  </pic:nvPicPr>
                  <pic:blipFill>
                    <a:blip r:embed="rId44">
                      <a:extLst>
                        <a:ext uri="{28A0092B-C50C-407E-A947-70E740481C1C}">
                          <a14:useLocalDpi xmlns:a14="http://schemas.microsoft.com/office/drawing/2010/main" val="0"/>
                        </a:ext>
                      </a:extLst>
                    </a:blip>
                    <a:stretch>
                      <a:fillRect/>
                    </a:stretch>
                  </pic:blipFill>
                  <pic:spPr>
                    <a:xfrm>
                      <a:off x="0" y="0"/>
                      <a:ext cx="4575600" cy="3430800"/>
                    </a:xfrm>
                    <a:prstGeom prst="rect">
                      <a:avLst/>
                    </a:prstGeom>
                  </pic:spPr>
                </pic:pic>
              </a:graphicData>
            </a:graphic>
          </wp:inline>
        </w:drawing>
      </w:r>
    </w:p>
    <w:p w14:paraId="7A6911FC" w14:textId="77777777" w:rsidR="00877B84" w:rsidRPr="00592227" w:rsidRDefault="00B026E6" w:rsidP="00877B84">
      <w:pPr>
        <w:pStyle w:val="Kpalrs"/>
        <w:rPr>
          <w:szCs w:val="22"/>
        </w:rPr>
      </w:pPr>
      <w:r w:rsidRPr="00592227">
        <w:rPr>
          <w:b/>
          <w:szCs w:val="22"/>
        </w:rPr>
        <w:t>27. ábra</w:t>
      </w:r>
      <w:r w:rsidR="00877B84" w:rsidRPr="00592227">
        <w:rPr>
          <w:szCs w:val="22"/>
        </w:rPr>
        <w:t xml:space="preserve"> Az átviteli hálózat (vezetékszakaszok) </w:t>
      </w:r>
      <w:r w:rsidR="00F472D9" w:rsidRPr="00592227">
        <w:rPr>
          <w:szCs w:val="22"/>
        </w:rPr>
        <w:t xml:space="preserve">várható </w:t>
      </w:r>
      <w:r w:rsidR="00877B84" w:rsidRPr="00592227">
        <w:rPr>
          <w:szCs w:val="22"/>
        </w:rPr>
        <w:t xml:space="preserve">komplex </w:t>
      </w:r>
      <w:r w:rsidR="00E21754" w:rsidRPr="00592227">
        <w:rPr>
          <w:szCs w:val="22"/>
        </w:rPr>
        <w:t xml:space="preserve">kitettségi, érzékenységi és </w:t>
      </w:r>
      <w:r w:rsidR="00877B84" w:rsidRPr="00592227">
        <w:rPr>
          <w:szCs w:val="22"/>
        </w:rPr>
        <w:t>hatásmutatóinak hatáslánca</w:t>
      </w:r>
    </w:p>
    <w:p w14:paraId="779F8E76" w14:textId="77777777" w:rsidR="00877B84" w:rsidRPr="00592227" w:rsidRDefault="00877B84" w:rsidP="00592227"/>
    <w:p w14:paraId="60DFE1FA" w14:textId="77777777" w:rsidR="006974BE" w:rsidRPr="006D5975" w:rsidRDefault="006974BE" w:rsidP="006974BE">
      <w:r w:rsidRPr="006D5975">
        <w:t>A vizsgá</w:t>
      </w:r>
      <w:r w:rsidR="00E21754" w:rsidRPr="006D5975">
        <w:t>lati logikai kerete, fő mutatói</w:t>
      </w:r>
      <w:r w:rsidRPr="006D5975">
        <w:t xml:space="preserve"> és hatáslánca, köszönhetően a szakmai partnereknek, több körben </w:t>
      </w:r>
      <w:r w:rsidR="00E21754" w:rsidRPr="006D5975">
        <w:t xml:space="preserve">került </w:t>
      </w:r>
      <w:r w:rsidRPr="006D5975">
        <w:t xml:space="preserve">kialakításra, súlyozásra, és hozzá megfelelő mennyiségű érzékenységi adat is rendelkezésre állt egy várható hatásokat bemutató hatáslánc (kitettség és érzékenységi indikátorok képzésével együtt). </w:t>
      </w:r>
    </w:p>
    <w:p w14:paraId="59BC21DB" w14:textId="77777777" w:rsidR="006974BE" w:rsidRPr="006D5975" w:rsidRDefault="006974BE" w:rsidP="006974BE">
      <w:r w:rsidRPr="006D5975">
        <w:t xml:space="preserve">A hatáslánc az éghajlati és földtani hatásoknak sokrétűen kitett, felszínen elhelyezkedő nagyfeszültségű átviteli hálózat vezetékszakaszaira került kialakításra figyelembe véve az éghajlati és földtani kitettségi </w:t>
      </w:r>
      <w:proofErr w:type="gramStart"/>
      <w:r w:rsidRPr="006D5975">
        <w:t>jellemzőket</w:t>
      </w:r>
      <w:proofErr w:type="gramEnd"/>
      <w:r w:rsidRPr="006D5975">
        <w:t xml:space="preserve"> valamint a sokrétű érzékenységi adatot. Az éghajlati indikátorok két, közép-</w:t>
      </w:r>
      <w:r w:rsidR="00877B84" w:rsidRPr="006D5975">
        <w:t xml:space="preserve"> (2021-2050)</w:t>
      </w:r>
      <w:r w:rsidRPr="006D5975">
        <w:t xml:space="preserve"> és hosszú időtávú </w:t>
      </w:r>
      <w:r w:rsidR="00877B84" w:rsidRPr="006D5975">
        <w:t xml:space="preserve">(2071-2100) </w:t>
      </w:r>
      <w:r w:rsidRPr="006D5975">
        <w:t>modellszimuláció két-két forgatókönyvére (4.5 optimista, 8.5 pesszimista) készültek el</w:t>
      </w:r>
      <w:r w:rsidR="00877B84" w:rsidRPr="006D5975">
        <w:t xml:space="preserve"> (lásd bővebben a 6.1. fejezetben</w:t>
      </w:r>
      <w:r w:rsidR="007565DF" w:rsidRPr="006D5975">
        <w:t>)</w:t>
      </w:r>
      <w:r w:rsidRPr="006D5975">
        <w:t>. Az indikátorokat a nemzetközi szakirodalom korábbi cikkeit is figyelembe véve, majd a hazai villamosenergia-szektor szakembereivel konzultálva, azok együttműködésével közös</w:t>
      </w:r>
      <w:r w:rsidR="007565DF" w:rsidRPr="006D5975">
        <w:t xml:space="preserve">en </w:t>
      </w:r>
      <w:r w:rsidR="007565DF" w:rsidRPr="006D5975">
        <w:lastRenderedPageBreak/>
        <w:t>választottuk ki és súlyoztuk. M</w:t>
      </w:r>
      <w:r w:rsidRPr="006D5975">
        <w:t xml:space="preserve">ajd egy komplex (dimenzió nélküli) mutatószám került kialakításra valamennyi éghajlati indikátort felhasználva. </w:t>
      </w:r>
      <w:r w:rsidR="0094324D" w:rsidRPr="006D5975">
        <w:t>A fő éghajlati mutatók a következők voltak</w:t>
      </w:r>
      <w:r w:rsidR="00877B84" w:rsidRPr="006D5975">
        <w:t xml:space="preserve"> az átviteli hálózat esetén</w:t>
      </w:r>
      <w:r w:rsidR="0094324D" w:rsidRPr="006D5975">
        <w:t xml:space="preserve">: </w:t>
      </w:r>
    </w:p>
    <w:p w14:paraId="3E095FCE" w14:textId="6AD0D05D" w:rsidR="0094324D" w:rsidRPr="006D5975" w:rsidRDefault="0094324D" w:rsidP="00592227">
      <w:pPr>
        <w:pStyle w:val="Listaszerbekezds"/>
        <w:numPr>
          <w:ilvl w:val="0"/>
          <w:numId w:val="13"/>
        </w:numPr>
        <w:ind w:left="426"/>
        <w:rPr>
          <w:szCs w:val="24"/>
        </w:rPr>
      </w:pPr>
      <w:r w:rsidRPr="006D5975">
        <w:rPr>
          <w:b/>
          <w:bCs/>
          <w:szCs w:val="24"/>
        </w:rPr>
        <w:t>Nagy csapadékok</w:t>
      </w:r>
      <w:r w:rsidRPr="006D5975">
        <w:rPr>
          <w:szCs w:val="24"/>
        </w:rPr>
        <w:t>: Itt két indikátort választottunk ki – a 23 mm feletti csapadékú napok éves számát és az órás csapadékintenzitás éves maximumát, melyből kissé nagyobb súllyal szerepel az utóbbi (1,3) az előbbivel szemben (1), hiszen az átviteli hálózat biztonságát elsősorban a hirtelen árvizek intenzitásának változása, másodsorban pedig azok gyakoriságának növekedése veszélyezteti.</w:t>
      </w:r>
    </w:p>
    <w:p w14:paraId="7CBA7941" w14:textId="76ABBA55" w:rsidR="0094324D" w:rsidRPr="006D5975" w:rsidRDefault="0094324D" w:rsidP="00592227">
      <w:pPr>
        <w:pStyle w:val="Listaszerbekezds"/>
        <w:numPr>
          <w:ilvl w:val="0"/>
          <w:numId w:val="13"/>
        </w:numPr>
        <w:ind w:left="426"/>
        <w:rPr>
          <w:szCs w:val="24"/>
        </w:rPr>
      </w:pPr>
      <w:r w:rsidRPr="006D5975">
        <w:rPr>
          <w:b/>
          <w:bCs/>
          <w:szCs w:val="24"/>
        </w:rPr>
        <w:t>Nagy szelek</w:t>
      </w:r>
      <w:r w:rsidRPr="006D5975">
        <w:rPr>
          <w:szCs w:val="24"/>
        </w:rPr>
        <w:t>: A nagyobb szelek szinte minden infrastruktúra-elemet veszélyeztetnek, ezért itt a szelek gyakoriságának növekedésére a viharos napokat választottuk ki (amely a napi széllökés-maximumok 99,6. percentilisét jelenti), míg az intenzitást az éves széllökés-maximumokkal reprezentáljuk. Utóbbit nagyobb súllyal tekintjük (2), mint az előbbit (1,5).</w:t>
      </w:r>
    </w:p>
    <w:p w14:paraId="3A55639B" w14:textId="72C57DA8" w:rsidR="0094324D" w:rsidRPr="006D5975" w:rsidRDefault="0094324D" w:rsidP="00592227">
      <w:pPr>
        <w:pStyle w:val="Listaszerbekezds"/>
        <w:numPr>
          <w:ilvl w:val="0"/>
          <w:numId w:val="13"/>
        </w:numPr>
        <w:ind w:left="426"/>
        <w:rPr>
          <w:szCs w:val="24"/>
        </w:rPr>
      </w:pPr>
      <w:r w:rsidRPr="006D5975">
        <w:rPr>
          <w:b/>
          <w:bCs/>
          <w:szCs w:val="24"/>
        </w:rPr>
        <w:t>Extrém magas hőmérséklet</w:t>
      </w:r>
      <w:r w:rsidRPr="006D5975">
        <w:rPr>
          <w:szCs w:val="24"/>
        </w:rPr>
        <w:t>: A túl magas hőmérséklet épp a csúcsterhelés időszakában a vezetékek szakadását eredményezheti, illetve a transzformátorok élettartamának csökkenéséhez vezet egy-egy tartós hőhullám során, mely jelentős kapacitáskieséshez is vezethet. Ehhez a maximumhőmérséklet éves maximumát tekintjük egy 1,8-as súllyal.</w:t>
      </w:r>
    </w:p>
    <w:p w14:paraId="388FE767" w14:textId="381A2FA8" w:rsidR="0094324D" w:rsidRPr="006D5975" w:rsidRDefault="0094324D" w:rsidP="00592227">
      <w:pPr>
        <w:pStyle w:val="Listaszerbekezds"/>
        <w:numPr>
          <w:ilvl w:val="0"/>
          <w:numId w:val="13"/>
        </w:numPr>
        <w:ind w:left="426"/>
        <w:rPr>
          <w:szCs w:val="24"/>
        </w:rPr>
      </w:pPr>
      <w:r w:rsidRPr="006D5975">
        <w:rPr>
          <w:b/>
          <w:bCs/>
          <w:szCs w:val="24"/>
        </w:rPr>
        <w:t>Tapadó csapadék</w:t>
      </w:r>
      <w:r w:rsidRPr="006D5975">
        <w:rPr>
          <w:szCs w:val="24"/>
        </w:rPr>
        <w:t>: A nagyfeszültségű átviteli hálózat jelentős terhelésnek van kitéve a vezetékekhez tapadó csapadék által, mely elsősorban hó vagy ónos eső formájában jelenthet problémát (ez nemcsak télen fordulhat elő, ezért éves számokat veszünk). Tapadó hónak tekintjük, amikor 0 °C feletti és alatti maximum- és minimumhőmérséklet mellett havazik, illetve ónos esős napnak azt vesszük, amikor a maximumhőmérséklet 0 °C alatti és eső hullik. Valószínűleg az ónos eső okozza a legnagyobb hatású veszélyt minden közül az átviteli hálózatra, ezért azt 3-as súllyal, míg a tapadó havat 1,4-essel vesszük a számítások során.</w:t>
      </w:r>
    </w:p>
    <w:p w14:paraId="6F4E71C2" w14:textId="410BDE82" w:rsidR="0094324D" w:rsidRPr="006D5975" w:rsidRDefault="0094324D" w:rsidP="00592227">
      <w:pPr>
        <w:pStyle w:val="Listaszerbekezds"/>
        <w:numPr>
          <w:ilvl w:val="0"/>
          <w:numId w:val="13"/>
        </w:numPr>
        <w:ind w:left="426"/>
        <w:rPr>
          <w:szCs w:val="24"/>
        </w:rPr>
      </w:pPr>
      <w:r w:rsidRPr="006D5975">
        <w:rPr>
          <w:b/>
          <w:bCs/>
          <w:szCs w:val="24"/>
        </w:rPr>
        <w:t>Téli csapadék</w:t>
      </w:r>
      <w:r w:rsidRPr="006D5975">
        <w:rPr>
          <w:szCs w:val="24"/>
        </w:rPr>
        <w:t>: Az előbbin felül fontosnak tartjuk még a téli csapadékintenzitást külön tekinteni, illetve a téli csapadékos napok és nagy szelek együttes előfordulását is. Mindkét indexet azokon a napokon nézzük, amikor legalább 1 mm csapadékmennyiség fordul elő, a nagy szelek kritériumát pedig a napi maximális széllökés eloszlásának 95. percentiliséhez kötjük. A csapadékintenzitást 1-es súllyal, a szeles indikátort 1,2-nek vesszük.</w:t>
      </w:r>
    </w:p>
    <w:p w14:paraId="44FD2CA0" w14:textId="77777777" w:rsidR="0094324D" w:rsidRPr="006D5975" w:rsidRDefault="0011518A" w:rsidP="006974BE">
      <w:r w:rsidRPr="006D5975">
        <w:t>A kialakított, egységesen használt földtani 10 mutatócsoportot és a kitettségi indikátorokat</w:t>
      </w:r>
      <w:r w:rsidR="00027FED" w:rsidRPr="006D5975">
        <w:t xml:space="preserve"> (köztük a komplex pontozásos mutatót)</w:t>
      </w:r>
      <w:r w:rsidRPr="006D5975">
        <w:t xml:space="preserve"> a 6.2 alfejezetben mutattuk be részletesen.</w:t>
      </w:r>
    </w:p>
    <w:p w14:paraId="1D4E445A" w14:textId="77777777" w:rsidR="0004653A" w:rsidRPr="006D5975" w:rsidRDefault="006974BE" w:rsidP="006974BE">
      <w:r w:rsidRPr="006D5975">
        <w:t>A felhasznált érzékenységi alapadatok (például oszlopok alapjainak állapota) a MAVIR Zrt. rendszeres, saját adatgyűjtéséből származnak, ott folyamatosan</w:t>
      </w:r>
      <w:r w:rsidR="008C2DA5" w:rsidRPr="006D5975">
        <w:t xml:space="preserve"> frissítve rendelkezésre állnak. T</w:t>
      </w:r>
      <w:r w:rsidRPr="006D5975">
        <w:t>őlük, megfelelő engedélyek birtokában, ezek megigényelhetőek. Sajnos alkalmazkodóképességi jellemzőket és mutatókat végül nem tudtunk képezni</w:t>
      </w:r>
      <w:r w:rsidR="008C2DA5" w:rsidRPr="006D5975">
        <w:t>, amelynek több oka is volt</w:t>
      </w:r>
      <w:r w:rsidR="007C6395" w:rsidRPr="006D5975">
        <w:t>. Az egyik</w:t>
      </w:r>
      <w:r w:rsidR="007565DF" w:rsidRPr="006D5975">
        <w:t>,</w:t>
      </w:r>
      <w:r w:rsidR="007C6395" w:rsidRPr="006D5975">
        <w:t xml:space="preserve"> döntő ok az volt, hogy az átviteli hálózat területileg jelentősen különböző jellemzőket nem mutat köszönhetően rendszeres monitorozásának és folyamatos karbantartásának</w:t>
      </w:r>
      <w:r w:rsidR="0004653A" w:rsidRPr="006D5975">
        <w:t>, fejlesztésének</w:t>
      </w:r>
      <w:r w:rsidRPr="006D5975">
        <w:t xml:space="preserve">. </w:t>
      </w:r>
    </w:p>
    <w:p w14:paraId="6EC1A0A3" w14:textId="77777777" w:rsidR="006974BE" w:rsidRPr="006D5975" w:rsidRDefault="008C2DA5" w:rsidP="006974BE">
      <w:r w:rsidRPr="006D5975">
        <w:t>A kialakított hatáslánc fentebb</w:t>
      </w:r>
      <w:r w:rsidR="006974BE" w:rsidRPr="006D5975">
        <w:t xml:space="preserve"> látható. Véleményünk szerint jó alap lehet az elosztói hálózatok hasonló hatásoldali jellemzéséhez és értékeléséhez is. </w:t>
      </w:r>
      <w:r w:rsidR="0011518A" w:rsidRPr="006D5975">
        <w:t>Természetes</w:t>
      </w:r>
      <w:r w:rsidR="009D7108" w:rsidRPr="006D5975">
        <w:t>en ez akkor működik a</w:t>
      </w:r>
      <w:r w:rsidR="006974BE" w:rsidRPr="006D5975">
        <w:t xml:space="preserve">mennyiben hasonló </w:t>
      </w:r>
      <w:r w:rsidR="009D7108" w:rsidRPr="006D5975">
        <w:t xml:space="preserve">és egységesíthető </w:t>
      </w:r>
      <w:r w:rsidR="006974BE" w:rsidRPr="006D5975">
        <w:t>adatgyűjtés és rendszerezés az elosztói hálózatok esetében is történik, és a kapott adatokból kitettségi-, érzékenységi és egyéb indikátorok képezhetőek.</w:t>
      </w:r>
      <w:r w:rsidR="00392DC3" w:rsidRPr="006D5975">
        <w:t xml:space="preserve"> </w:t>
      </w:r>
    </w:p>
    <w:p w14:paraId="7818863E" w14:textId="77777777" w:rsidR="00330073" w:rsidRPr="006D5975" w:rsidRDefault="00330073" w:rsidP="006D5975"/>
    <w:p w14:paraId="6429B241" w14:textId="77777777" w:rsidR="0018763A" w:rsidRDefault="0018763A">
      <w:pPr>
        <w:widowControl/>
        <w:spacing w:after="160" w:line="259" w:lineRule="auto"/>
        <w:ind w:firstLine="0"/>
        <w:jc w:val="left"/>
        <w:rPr>
          <w:rFonts w:eastAsiaTheme="majorEastAsia"/>
          <w:b/>
          <w:bCs/>
          <w:noProof/>
          <w:color w:val="000000" w:themeColor="text1"/>
          <w:sz w:val="26"/>
          <w:szCs w:val="26"/>
        </w:rPr>
      </w:pPr>
      <w:r>
        <w:rPr>
          <w:noProof/>
        </w:rPr>
        <w:br w:type="page"/>
      </w:r>
    </w:p>
    <w:p w14:paraId="757E8B93" w14:textId="5761F610" w:rsidR="00E21754" w:rsidRPr="00592227" w:rsidRDefault="003F4791" w:rsidP="006D5975">
      <w:pPr>
        <w:pStyle w:val="Cmsor2"/>
        <w:rPr>
          <w:noProof/>
        </w:rPr>
      </w:pPr>
      <w:bookmarkStart w:id="33" w:name="_Toc147484215"/>
      <w:r w:rsidRPr="00592227">
        <w:rPr>
          <w:noProof/>
        </w:rPr>
        <w:lastRenderedPageBreak/>
        <w:t>10.2</w:t>
      </w:r>
      <w:r w:rsidR="00137D84" w:rsidRPr="00592227">
        <w:rPr>
          <w:noProof/>
        </w:rPr>
        <w:t xml:space="preserve">. </w:t>
      </w:r>
      <w:r w:rsidR="007C6395" w:rsidRPr="00592227">
        <w:rPr>
          <w:noProof/>
        </w:rPr>
        <w:t>Az átviteli hálózat kitettségi jellemzői</w:t>
      </w:r>
      <w:bookmarkEnd w:id="33"/>
    </w:p>
    <w:p w14:paraId="73942565" w14:textId="77777777" w:rsidR="008C2DA5" w:rsidRPr="006D5975" w:rsidRDefault="00E21754" w:rsidP="00E21754">
      <w:r w:rsidRPr="006D5975">
        <w:t>Az átviteli hálózat éghajlati kitettség</w:t>
      </w:r>
      <w:r w:rsidR="008C2DA5" w:rsidRPr="006D5975">
        <w:t>ének</w:t>
      </w:r>
      <w:r w:rsidRPr="006D5975">
        <w:t xml:space="preserve"> jövőbeli változása a középtávú</w:t>
      </w:r>
      <w:r w:rsidR="008C2DA5" w:rsidRPr="006D5975">
        <w:t xml:space="preserve"> (2021-2050)</w:t>
      </w:r>
      <w:r w:rsidRPr="006D5975">
        <w:t xml:space="preserve"> és hosszútávú</w:t>
      </w:r>
      <w:r w:rsidR="008C2DA5" w:rsidRPr="006D5975">
        <w:t xml:space="preserve"> (2071-2100)</w:t>
      </w:r>
      <w:r w:rsidRPr="006D5975">
        <w:t xml:space="preserve"> </w:t>
      </w:r>
      <w:r w:rsidR="008C2DA5" w:rsidRPr="006D5975">
        <w:t xml:space="preserve">valamint optimista (RCP 4.5) és pesszimista (RCP 8.5) </w:t>
      </w:r>
      <w:r w:rsidRPr="006D5975">
        <w:t xml:space="preserve">forgatókönyvek esetén </w:t>
      </w:r>
      <w:r w:rsidR="008C2DA5" w:rsidRPr="006D5975">
        <w:t>várhatóan erősen eltérő lesz</w:t>
      </w:r>
      <w:r w:rsidRPr="006D5975">
        <w:t>.</w:t>
      </w:r>
      <w:r w:rsidR="008C2DA5" w:rsidRPr="006D5975">
        <w:t xml:space="preserve"> A komplex, 9 kiválasztott, eltérően súlyozott indikátor jellemzőit együttesen mutató éghajlati kitettségi indikátor és háromosztatú jelzőlámpa kategorizálás</w:t>
      </w:r>
      <w:r w:rsidR="00576B18" w:rsidRPr="006D5975">
        <w:t>a</w:t>
      </w:r>
      <w:r w:rsidR="008C2DA5" w:rsidRPr="006D5975">
        <w:t xml:space="preserve"> alapján a következők állapíthatóak meg:  </w:t>
      </w:r>
    </w:p>
    <w:p w14:paraId="58EC4DF9" w14:textId="77777777" w:rsidR="00576B18" w:rsidRPr="006D5975" w:rsidRDefault="008C2DA5" w:rsidP="006D5975">
      <w:pPr>
        <w:pStyle w:val="Listaszerbekezds"/>
        <w:numPr>
          <w:ilvl w:val="0"/>
          <w:numId w:val="25"/>
        </w:numPr>
        <w:rPr>
          <w:szCs w:val="24"/>
        </w:rPr>
      </w:pPr>
      <w:r w:rsidRPr="006D5975">
        <w:rPr>
          <w:szCs w:val="24"/>
        </w:rPr>
        <w:t>Középtávon az optimista forgatókönyv</w:t>
      </w:r>
      <w:r w:rsidR="007C6395" w:rsidRPr="006D5975">
        <w:rPr>
          <w:szCs w:val="24"/>
        </w:rPr>
        <w:t xml:space="preserve"> (RCP 4.5)</w:t>
      </w:r>
      <w:r w:rsidRPr="006D5975">
        <w:rPr>
          <w:szCs w:val="24"/>
        </w:rPr>
        <w:t xml:space="preserve"> alapján az átviteli hálózat vezetékszakaszainak döntő többsége a kevéssé kitett kategóriába tartozik majd. Kivételt</w:t>
      </w:r>
      <w:r w:rsidR="00576B18" w:rsidRPr="006D5975">
        <w:rPr>
          <w:szCs w:val="24"/>
        </w:rPr>
        <w:t xml:space="preserve"> néhány dél-dun</w:t>
      </w:r>
      <w:r w:rsidR="007565DF" w:rsidRPr="006D5975">
        <w:rPr>
          <w:szCs w:val="24"/>
        </w:rPr>
        <w:t>ántúli vezetékszakasz képezhet</w:t>
      </w:r>
      <w:r w:rsidR="00576B18" w:rsidRPr="006D5975">
        <w:rPr>
          <w:szCs w:val="24"/>
        </w:rPr>
        <w:t>, amelyek közepes kitettségűek lesznek várhatóan (például Paks-Toponár; Pécs-Ernestinovo).</w:t>
      </w:r>
    </w:p>
    <w:p w14:paraId="04F38D76" w14:textId="77777777" w:rsidR="00576B18" w:rsidRPr="006D5975" w:rsidRDefault="00576B18" w:rsidP="006D5975">
      <w:pPr>
        <w:pStyle w:val="Listaszerbekezds"/>
        <w:numPr>
          <w:ilvl w:val="0"/>
          <w:numId w:val="25"/>
        </w:numPr>
        <w:rPr>
          <w:szCs w:val="24"/>
        </w:rPr>
      </w:pPr>
      <w:r w:rsidRPr="006D5975">
        <w:rPr>
          <w:szCs w:val="24"/>
        </w:rPr>
        <w:t>Középtávon a pesszimista forgatókönyv</w:t>
      </w:r>
      <w:r w:rsidR="007C6395" w:rsidRPr="006D5975">
        <w:rPr>
          <w:szCs w:val="24"/>
        </w:rPr>
        <w:t xml:space="preserve"> (RCP 8.5)</w:t>
      </w:r>
      <w:r w:rsidRPr="006D5975">
        <w:rPr>
          <w:szCs w:val="24"/>
        </w:rPr>
        <w:t xml:space="preserve"> alapján a dél-dunántúli vezetékszakaszokon túl néhány további észak-dunántúli és északi-középhegységi</w:t>
      </w:r>
      <w:r w:rsidR="008C2DA5" w:rsidRPr="006D5975">
        <w:rPr>
          <w:szCs w:val="24"/>
        </w:rPr>
        <w:t xml:space="preserve"> </w:t>
      </w:r>
      <w:r w:rsidRPr="006D5975">
        <w:rPr>
          <w:szCs w:val="24"/>
        </w:rPr>
        <w:t xml:space="preserve">vezetékszakasz is a közepesen kitett kategóriába esik majd (például: </w:t>
      </w:r>
      <w:r w:rsidR="007C6395" w:rsidRPr="006D5975">
        <w:rPr>
          <w:szCs w:val="24"/>
        </w:rPr>
        <w:t>Neu</w:t>
      </w:r>
      <w:r w:rsidRPr="006D5975">
        <w:rPr>
          <w:szCs w:val="24"/>
        </w:rPr>
        <w:t>sidler-Országhatár-Győr; Göd-Léva). Erősen kitett vezetékszakasz középtávon a reg</w:t>
      </w:r>
      <w:r w:rsidR="009D7108" w:rsidRPr="006D5975">
        <w:rPr>
          <w:szCs w:val="24"/>
        </w:rPr>
        <w:t>i</w:t>
      </w:r>
      <w:r w:rsidRPr="006D5975">
        <w:rPr>
          <w:szCs w:val="24"/>
        </w:rPr>
        <w:t xml:space="preserve">onális modellek és forgatókönyveik alapján nem jelezhető előre. </w:t>
      </w:r>
    </w:p>
    <w:p w14:paraId="470C8618" w14:textId="77777777" w:rsidR="007C6395" w:rsidRPr="006D5975" w:rsidRDefault="00576B18" w:rsidP="006D5975">
      <w:pPr>
        <w:pStyle w:val="Listaszerbekezds"/>
        <w:numPr>
          <w:ilvl w:val="0"/>
          <w:numId w:val="25"/>
        </w:numPr>
        <w:rPr>
          <w:szCs w:val="24"/>
        </w:rPr>
      </w:pPr>
      <w:r w:rsidRPr="006D5975">
        <w:rPr>
          <w:szCs w:val="24"/>
        </w:rPr>
        <w:t xml:space="preserve">A hosszútávú </w:t>
      </w:r>
      <w:r w:rsidR="00CC2F31" w:rsidRPr="006D5975">
        <w:rPr>
          <w:szCs w:val="24"/>
        </w:rPr>
        <w:t xml:space="preserve">(2071-2100) </w:t>
      </w:r>
      <w:r w:rsidRPr="006D5975">
        <w:rPr>
          <w:szCs w:val="24"/>
        </w:rPr>
        <w:t>klimatológiai változásokat megjelenítő modellek</w:t>
      </w:r>
      <w:r w:rsidR="00E21754" w:rsidRPr="006D5975">
        <w:rPr>
          <w:szCs w:val="24"/>
        </w:rPr>
        <w:t xml:space="preserve"> </w:t>
      </w:r>
      <w:r w:rsidRPr="006D5975">
        <w:rPr>
          <w:szCs w:val="24"/>
        </w:rPr>
        <w:t xml:space="preserve">esetén az optimista forgatókönyv </w:t>
      </w:r>
      <w:r w:rsidR="007C6395" w:rsidRPr="006D5975">
        <w:rPr>
          <w:szCs w:val="24"/>
        </w:rPr>
        <w:t xml:space="preserve">(RCP 4.5) </w:t>
      </w:r>
      <w:r w:rsidRPr="006D5975">
        <w:rPr>
          <w:szCs w:val="24"/>
        </w:rPr>
        <w:t>szerint az átviteli hálózat vezetékszakaszainak</w:t>
      </w:r>
      <w:r w:rsidR="007C6395" w:rsidRPr="006D5975">
        <w:rPr>
          <w:szCs w:val="24"/>
        </w:rPr>
        <w:t xml:space="preserve"> döntő többsége közepesen kitett kategóriába esik majd valószínűleg. Erősen kitett vezetékszakasz ez esetben sem jelezhető előre. </w:t>
      </w:r>
    </w:p>
    <w:p w14:paraId="4946B140" w14:textId="77777777" w:rsidR="00E21754" w:rsidRPr="006D5975" w:rsidRDefault="007C6395" w:rsidP="006D5975">
      <w:pPr>
        <w:pStyle w:val="Listaszerbekezds"/>
        <w:numPr>
          <w:ilvl w:val="0"/>
          <w:numId w:val="25"/>
        </w:numPr>
        <w:rPr>
          <w:szCs w:val="24"/>
        </w:rPr>
      </w:pPr>
      <w:r w:rsidRPr="006D5975">
        <w:rPr>
          <w:szCs w:val="24"/>
        </w:rPr>
        <w:t>A pesszimista forgatókönyv</w:t>
      </w:r>
      <w:r w:rsidR="00CC2F31" w:rsidRPr="006D5975">
        <w:rPr>
          <w:szCs w:val="24"/>
        </w:rPr>
        <w:t xml:space="preserve"> (RCP 8.5)</w:t>
      </w:r>
      <w:r w:rsidRPr="006D5975">
        <w:rPr>
          <w:szCs w:val="24"/>
        </w:rPr>
        <w:t xml:space="preserve"> hosszútávú előremodellezése alapján viszont kijelenthető, hogy számos vezetékszakasz a köz</w:t>
      </w:r>
      <w:r w:rsidR="00DC08C4" w:rsidRPr="006D5975">
        <w:rPr>
          <w:szCs w:val="24"/>
        </w:rPr>
        <w:t>e</w:t>
      </w:r>
      <w:r w:rsidRPr="006D5975">
        <w:rPr>
          <w:szCs w:val="24"/>
        </w:rPr>
        <w:t xml:space="preserve">pesen kitett kategóriába kerülhet, de jelentős számú </w:t>
      </w:r>
      <w:r w:rsidR="00DC08C4" w:rsidRPr="006D5975">
        <w:rPr>
          <w:szCs w:val="24"/>
        </w:rPr>
        <w:t xml:space="preserve">szakasz az </w:t>
      </w:r>
      <w:r w:rsidRPr="006D5975">
        <w:rPr>
          <w:szCs w:val="24"/>
        </w:rPr>
        <w:t xml:space="preserve">erősen kitett kategóriába kerül </w:t>
      </w:r>
      <w:r w:rsidR="00DC08C4" w:rsidRPr="006D5975">
        <w:rPr>
          <w:szCs w:val="24"/>
        </w:rPr>
        <w:t>várhatóan</w:t>
      </w:r>
      <w:r w:rsidR="00CC2F31" w:rsidRPr="006D5975">
        <w:rPr>
          <w:szCs w:val="24"/>
        </w:rPr>
        <w:t>,</w:t>
      </w:r>
      <w:r w:rsidR="00DC08C4" w:rsidRPr="006D5975">
        <w:rPr>
          <w:szCs w:val="24"/>
        </w:rPr>
        <w:t xml:space="preserve"> </w:t>
      </w:r>
      <w:r w:rsidR="00CC2F31" w:rsidRPr="006D5975">
        <w:rPr>
          <w:szCs w:val="24"/>
        </w:rPr>
        <w:t>például szinte az egész Dunántúl térségében</w:t>
      </w:r>
      <w:r w:rsidRPr="006D5975">
        <w:rPr>
          <w:szCs w:val="24"/>
        </w:rPr>
        <w:t>, a Mátrai Erőmű és Detk térségben, valamint az Észak-Alföldön (Tiszaújváros térsége).</w:t>
      </w:r>
      <w:r w:rsidR="00DC08C4" w:rsidRPr="006D5975">
        <w:rPr>
          <w:szCs w:val="24"/>
        </w:rPr>
        <w:t xml:space="preserve"> Kevéssé kitett kategória itt már nem várható a számítások alapján. </w:t>
      </w:r>
    </w:p>
    <w:p w14:paraId="62585D5B" w14:textId="77777777" w:rsidR="0018763A" w:rsidRDefault="0018763A" w:rsidP="0018763A"/>
    <w:p w14:paraId="3BB5EAB1" w14:textId="6AD75803" w:rsidR="0018763A" w:rsidRPr="006D5975" w:rsidRDefault="0018763A" w:rsidP="0018763A">
      <w:r w:rsidRPr="006D5975">
        <w:t xml:space="preserve">Az átviteli hálózat vezetékszakaszainak </w:t>
      </w:r>
      <w:proofErr w:type="spellStart"/>
      <w:r w:rsidRPr="006D5975">
        <w:t>jelenbeli</w:t>
      </w:r>
      <w:proofErr w:type="spellEnd"/>
      <w:r w:rsidRPr="006D5975">
        <w:t xml:space="preserve"> földtani kitettsége viszonylag homogén képet mutat. A komplex, 10 sekélyföldtani mutató jellemzőit magába foglaló pontozás alapján a legtöbb vezetékszakasz a közepesen kitett kategóriába került. Kivételt a Dunántúli-középhegységen és az Északi-középhegységen keresztülhaladó vezetékszakaszok jelentenek, amelyek például a kedvezőbb kőzetállékonysági vagy vízföldtani besorolás alapján a kevéssé kitett kategóriába kerültek (például: Győr-Litér; Litér-Hévíz; Göd-Léva szakaszok.)  </w:t>
      </w:r>
    </w:p>
    <w:p w14:paraId="2304EEF6" w14:textId="77777777" w:rsidR="00592227" w:rsidRPr="006D5975" w:rsidRDefault="00592227" w:rsidP="006D5975"/>
    <w:p w14:paraId="5F07D11E" w14:textId="77777777" w:rsidR="00AC3F3D" w:rsidRPr="00592227" w:rsidRDefault="00510A66" w:rsidP="00592227">
      <w:pPr>
        <w:ind w:firstLine="0"/>
        <w:jc w:val="center"/>
        <w:rPr>
          <w:sz w:val="22"/>
          <w:szCs w:val="22"/>
        </w:rPr>
      </w:pPr>
      <w:r w:rsidRPr="00592227">
        <w:rPr>
          <w:noProof/>
          <w:sz w:val="22"/>
          <w:szCs w:val="22"/>
          <w:lang w:eastAsia="hu-HU"/>
          <w14:ligatures w14:val="none"/>
        </w:rPr>
        <w:lastRenderedPageBreak/>
        <w:drawing>
          <wp:inline distT="0" distB="0" distL="0" distR="0" wp14:anchorId="6E77CFB6" wp14:editId="05685FC6">
            <wp:extent cx="5760720" cy="4570730"/>
            <wp:effectExtent l="0" t="0" r="0" b="127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illamose_atviteli_egh_komplex_allo_23092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4570730"/>
                    </a:xfrm>
                    <a:prstGeom prst="rect">
                      <a:avLst/>
                    </a:prstGeom>
                  </pic:spPr>
                </pic:pic>
              </a:graphicData>
            </a:graphic>
          </wp:inline>
        </w:drawing>
      </w:r>
    </w:p>
    <w:p w14:paraId="1AC9DA9D" w14:textId="77777777" w:rsidR="00392DC3" w:rsidRPr="00592227" w:rsidRDefault="00B026E6" w:rsidP="00592227">
      <w:pPr>
        <w:ind w:firstLine="0"/>
        <w:jc w:val="center"/>
        <w:rPr>
          <w:i/>
          <w:sz w:val="22"/>
          <w:szCs w:val="22"/>
        </w:rPr>
      </w:pPr>
      <w:r w:rsidRPr="00592227">
        <w:rPr>
          <w:b/>
          <w:i/>
          <w:sz w:val="22"/>
          <w:szCs w:val="22"/>
        </w:rPr>
        <w:t>28</w:t>
      </w:r>
      <w:r w:rsidR="00392DC3" w:rsidRPr="00592227">
        <w:rPr>
          <w:b/>
          <w:i/>
          <w:sz w:val="22"/>
          <w:szCs w:val="22"/>
        </w:rPr>
        <w:t>. ábra</w:t>
      </w:r>
      <w:r w:rsidR="00392DC3" w:rsidRPr="00592227">
        <w:rPr>
          <w:i/>
          <w:sz w:val="22"/>
          <w:szCs w:val="22"/>
        </w:rPr>
        <w:t xml:space="preserve"> Az átviteli hálózat vezetékszakaszainak várható éghajlati kitettségi besorolása közép- és hosszútávon az optimista és a pesszimista forgatókönyvek alapján</w:t>
      </w:r>
    </w:p>
    <w:p w14:paraId="41508A3C" w14:textId="77777777" w:rsidR="00392DC3" w:rsidRPr="006D5975" w:rsidRDefault="00392DC3" w:rsidP="006D5975"/>
    <w:p w14:paraId="43D6B1D6" w14:textId="77777777" w:rsidR="00AC3F3D" w:rsidRPr="00592227" w:rsidRDefault="00AC3F3D" w:rsidP="00110F10">
      <w:pPr>
        <w:pStyle w:val="TJ3"/>
        <w:ind w:left="0"/>
        <w:jc w:val="center"/>
        <w:rPr>
          <w:noProof/>
          <w:sz w:val="22"/>
          <w:szCs w:val="22"/>
        </w:rPr>
      </w:pPr>
      <w:r w:rsidRPr="00592227">
        <w:rPr>
          <w:noProof/>
          <w:sz w:val="22"/>
          <w:szCs w:val="22"/>
          <w:lang w:eastAsia="hu-HU"/>
          <w14:ligatures w14:val="none"/>
        </w:rPr>
        <w:drawing>
          <wp:inline distT="0" distB="0" distL="0" distR="0" wp14:anchorId="102EDCB7" wp14:editId="70D60B47">
            <wp:extent cx="4762500" cy="3082606"/>
            <wp:effectExtent l="0" t="0" r="0" b="381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illamose_atviteli_fdt_komplex_23082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64451" cy="3083869"/>
                    </a:xfrm>
                    <a:prstGeom prst="rect">
                      <a:avLst/>
                    </a:prstGeom>
                  </pic:spPr>
                </pic:pic>
              </a:graphicData>
            </a:graphic>
          </wp:inline>
        </w:drawing>
      </w:r>
    </w:p>
    <w:p w14:paraId="2DBF03C4" w14:textId="77777777" w:rsidR="00AC6C9E" w:rsidRPr="00592227" w:rsidRDefault="00B026E6" w:rsidP="00592227">
      <w:pPr>
        <w:ind w:firstLine="0"/>
        <w:jc w:val="center"/>
        <w:rPr>
          <w:i/>
          <w:sz w:val="22"/>
          <w:szCs w:val="22"/>
        </w:rPr>
      </w:pPr>
      <w:r w:rsidRPr="00592227">
        <w:rPr>
          <w:b/>
          <w:i/>
          <w:sz w:val="22"/>
          <w:szCs w:val="22"/>
        </w:rPr>
        <w:t>29</w:t>
      </w:r>
      <w:r w:rsidR="00AC6C9E" w:rsidRPr="00592227">
        <w:rPr>
          <w:b/>
          <w:i/>
          <w:sz w:val="22"/>
          <w:szCs w:val="22"/>
        </w:rPr>
        <w:t>. ábra</w:t>
      </w:r>
      <w:r w:rsidR="00AC6C9E" w:rsidRPr="00592227">
        <w:rPr>
          <w:i/>
          <w:sz w:val="22"/>
          <w:szCs w:val="22"/>
        </w:rPr>
        <w:t xml:space="preserve"> Az átviteli hálózat vezetékszakaszainak földtani kitettségi besorolása a komplex földtani indikátor alapján</w:t>
      </w:r>
    </w:p>
    <w:p w14:paraId="17DBC151" w14:textId="77777777" w:rsidR="00AC6C9E" w:rsidRPr="00592227" w:rsidRDefault="00AC6C9E" w:rsidP="00592227"/>
    <w:p w14:paraId="2F746C4D" w14:textId="77777777" w:rsidR="00EB300D" w:rsidRPr="00592227" w:rsidRDefault="003F4791" w:rsidP="006D5975">
      <w:pPr>
        <w:pStyle w:val="Cmsor2"/>
        <w:rPr>
          <w:noProof/>
        </w:rPr>
      </w:pPr>
      <w:bookmarkStart w:id="34" w:name="_Toc147484216"/>
      <w:r w:rsidRPr="00592227">
        <w:rPr>
          <w:noProof/>
        </w:rPr>
        <w:lastRenderedPageBreak/>
        <w:t>10.3</w:t>
      </w:r>
      <w:r w:rsidR="00137D84" w:rsidRPr="00592227">
        <w:rPr>
          <w:noProof/>
        </w:rPr>
        <w:t xml:space="preserve">. </w:t>
      </w:r>
      <w:r w:rsidR="00AC6C9E" w:rsidRPr="00592227">
        <w:rPr>
          <w:noProof/>
        </w:rPr>
        <w:t>Az átviteli hálózat vezetékszakaszainak érzékenységi adottságai</w:t>
      </w:r>
      <w:bookmarkEnd w:id="34"/>
    </w:p>
    <w:p w14:paraId="21E4142A" w14:textId="77777777" w:rsidR="0004653A" w:rsidRPr="006D5975" w:rsidRDefault="00261D92" w:rsidP="0004653A">
      <w:r w:rsidRPr="006D5975">
        <w:t>Az átviteli hálózat vezetékszakasz</w:t>
      </w:r>
      <w:r w:rsidR="007565DF" w:rsidRPr="006D5975">
        <w:t>ainak érzékenységi besorolását kilenc</w:t>
      </w:r>
      <w:r w:rsidRPr="006D5975">
        <w:t xml:space="preserve"> eltérő, de számszerűsíthető adottság komplex pontozásos besorolása alapján hoztuk létre. A vezetékszakaszok, oszlopaik, alapjaik </w:t>
      </w:r>
      <w:r w:rsidR="007565DF" w:rsidRPr="006D5975">
        <w:t xml:space="preserve">állapotának </w:t>
      </w:r>
      <w:r w:rsidR="0004653A" w:rsidRPr="006D5975">
        <w:t xml:space="preserve">érzékenységi </w:t>
      </w:r>
      <w:r w:rsidRPr="006D5975">
        <w:t>pontozását, valamint az egyéb pontértékeket (például árterekben, nyiladékokban, vezetékfolyosóban való elhelyezkedés</w:t>
      </w:r>
      <w:r w:rsidR="0046337B" w:rsidRPr="006D5975">
        <w:t>, autópálya keresztezők nagyobb száma</w:t>
      </w:r>
      <w:r w:rsidRPr="006D5975">
        <w:t xml:space="preserve"> vagy földalatti védett kábelszakaszok) egy háromosztatú jelzőlámpa kategorizálás alapján ábrázoltuk és mutatjuk be. (Bővebben lásd módszertani tanulmány). </w:t>
      </w:r>
      <w:r w:rsidR="0004653A" w:rsidRPr="006D5975">
        <w:t xml:space="preserve">A komplex érzékenységi mutató képzésébe és jelzőlámpa kategorizálásába a MAVIR javaslatára eltérő súlyozással a vezetékszakaszok </w:t>
      </w:r>
      <w:r w:rsidR="009D7108" w:rsidRPr="006D5975">
        <w:t xml:space="preserve">MAVIR által alkalmazott </w:t>
      </w:r>
      <w:r w:rsidR="0004653A" w:rsidRPr="006D5975">
        <w:t>prioritási kategóriái is bekerültek.</w:t>
      </w:r>
    </w:p>
    <w:p w14:paraId="78804E72" w14:textId="77777777" w:rsidR="0046337B" w:rsidRPr="006D5975" w:rsidRDefault="0046337B" w:rsidP="00AC6C9E">
      <w:r w:rsidRPr="006D5975">
        <w:t>A legtöbb vezetékszakasz a közepesen érzékeny kategóriába került besorolásra. Kevésbé érzékenyek azok a vezetékszakaszok és oszlopaik, amelyek viszonylag újnak számítanak, így a többinél valamivel jobb állapotúak és járulékos további pontokat sem kaptak. Ezek a vezetékszakaszok Dunántúlon és az Alföldön egyaránt megtalálhatóak. Erősen érzékenynek elsősorban az Északi-középhegység déli előterében futó, valamint egy-egy dél-dunántúli és alföldi vezetékszakasz</w:t>
      </w:r>
      <w:r w:rsidR="0004653A" w:rsidRPr="006D5975">
        <w:t xml:space="preserve"> számít</w:t>
      </w:r>
      <w:r w:rsidRPr="006D5975">
        <w:t xml:space="preserve"> a komplex pontozás alapján. </w:t>
      </w:r>
    </w:p>
    <w:p w14:paraId="260876DB" w14:textId="77777777" w:rsidR="00261D92" w:rsidRPr="006D5975" w:rsidRDefault="0046337B" w:rsidP="00AC6C9E">
      <w:r w:rsidRPr="006D5975">
        <w:t xml:space="preserve">Ez a kategorizálás természetesen </w:t>
      </w:r>
      <w:r w:rsidR="009D7108" w:rsidRPr="006D5975">
        <w:t xml:space="preserve">az </w:t>
      </w:r>
      <w:r w:rsidRPr="006D5975">
        <w:t>egymáshoz viszonyított pontozást, értékelést mutat</w:t>
      </w:r>
      <w:r w:rsidR="0004653A" w:rsidRPr="006D5975">
        <w:t>ja,</w:t>
      </w:r>
      <w:r w:rsidRPr="006D5975">
        <w:t xml:space="preserve"> és semmiféleképpen nem jelenti, hogy ezek a vezetékszakaszok bármilyen módon problémásak lennének.</w:t>
      </w:r>
      <w:r w:rsidR="0004653A" w:rsidRPr="006D5975">
        <w:t xml:space="preserve"> Erre garancia a magas színvonalú és folyamatos monitoring</w:t>
      </w:r>
      <w:r w:rsidR="009D7108" w:rsidRPr="006D5975">
        <w:t xml:space="preserve"> tevékenység</w:t>
      </w:r>
      <w:r w:rsidR="0004653A" w:rsidRPr="006D5975">
        <w:t>, a folyamatos karbantartás, felújítás, fejlesztés, amely</w:t>
      </w:r>
      <w:r w:rsidR="009D7108" w:rsidRPr="006D5975">
        <w:t>eket a MAVIR tervszerűen végez.</w:t>
      </w:r>
    </w:p>
    <w:p w14:paraId="2613E9C1" w14:textId="77777777" w:rsidR="00AC3F3D" w:rsidRPr="00592227" w:rsidRDefault="00AC3F3D" w:rsidP="00110F10">
      <w:pPr>
        <w:ind w:firstLine="0"/>
        <w:jc w:val="center"/>
        <w:rPr>
          <w:sz w:val="22"/>
          <w:szCs w:val="22"/>
        </w:rPr>
      </w:pPr>
      <w:r w:rsidRPr="00592227">
        <w:rPr>
          <w:noProof/>
          <w:sz w:val="22"/>
          <w:szCs w:val="22"/>
          <w:lang w:eastAsia="hu-HU"/>
          <w14:ligatures w14:val="none"/>
        </w:rPr>
        <w:drawing>
          <wp:inline distT="0" distB="0" distL="0" distR="0" wp14:anchorId="5E7BA8D7" wp14:editId="4909184C">
            <wp:extent cx="4886325" cy="3162754"/>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llamose_atviteli_erz_23082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87447" cy="3163480"/>
                    </a:xfrm>
                    <a:prstGeom prst="rect">
                      <a:avLst/>
                    </a:prstGeom>
                  </pic:spPr>
                </pic:pic>
              </a:graphicData>
            </a:graphic>
          </wp:inline>
        </w:drawing>
      </w:r>
    </w:p>
    <w:p w14:paraId="52BEF2D1" w14:textId="6F93EEB0" w:rsidR="0004653A" w:rsidRPr="00592227" w:rsidRDefault="00B026E6" w:rsidP="00592227">
      <w:pPr>
        <w:ind w:firstLine="0"/>
        <w:jc w:val="center"/>
        <w:rPr>
          <w:i/>
          <w:sz w:val="20"/>
        </w:rPr>
      </w:pPr>
      <w:r w:rsidRPr="00592227">
        <w:rPr>
          <w:b/>
          <w:i/>
          <w:sz w:val="20"/>
        </w:rPr>
        <w:t>30</w:t>
      </w:r>
      <w:r w:rsidR="0004653A" w:rsidRPr="00592227">
        <w:rPr>
          <w:b/>
          <w:i/>
          <w:sz w:val="20"/>
        </w:rPr>
        <w:t>. ábra</w:t>
      </w:r>
      <w:r w:rsidR="0004653A" w:rsidRPr="00592227">
        <w:rPr>
          <w:i/>
          <w:sz w:val="20"/>
        </w:rPr>
        <w:t xml:space="preserve"> Az átviteli hálózat vezetékszakaszainak érzékenységi besorolása a komplex </w:t>
      </w:r>
      <w:r w:rsidR="00592227">
        <w:rPr>
          <w:i/>
          <w:sz w:val="20"/>
        </w:rPr>
        <w:br/>
      </w:r>
      <w:r w:rsidR="0004653A" w:rsidRPr="00592227">
        <w:rPr>
          <w:i/>
          <w:sz w:val="20"/>
        </w:rPr>
        <w:t>érzékenységi indikátor alapján</w:t>
      </w:r>
    </w:p>
    <w:p w14:paraId="1037B8A3" w14:textId="77777777" w:rsidR="0004653A" w:rsidRPr="00592227" w:rsidRDefault="0004653A" w:rsidP="00592227"/>
    <w:p w14:paraId="394619F8" w14:textId="77777777" w:rsidR="0018763A" w:rsidRDefault="0018763A">
      <w:pPr>
        <w:widowControl/>
        <w:spacing w:after="160" w:line="259" w:lineRule="auto"/>
        <w:ind w:firstLine="0"/>
        <w:jc w:val="left"/>
        <w:rPr>
          <w:rFonts w:eastAsiaTheme="majorEastAsia"/>
          <w:b/>
          <w:bCs/>
          <w:noProof/>
          <w:color w:val="000000" w:themeColor="text1"/>
          <w:sz w:val="26"/>
          <w:szCs w:val="26"/>
        </w:rPr>
      </w:pPr>
      <w:r>
        <w:rPr>
          <w:noProof/>
        </w:rPr>
        <w:br w:type="page"/>
      </w:r>
    </w:p>
    <w:p w14:paraId="29302D09" w14:textId="7302460B" w:rsidR="00EB300D" w:rsidRPr="00592227" w:rsidRDefault="003F4791" w:rsidP="006D5975">
      <w:pPr>
        <w:pStyle w:val="Cmsor2"/>
        <w:rPr>
          <w:noProof/>
        </w:rPr>
      </w:pPr>
      <w:bookmarkStart w:id="35" w:name="_Toc147484217"/>
      <w:r w:rsidRPr="00592227">
        <w:rPr>
          <w:noProof/>
        </w:rPr>
        <w:lastRenderedPageBreak/>
        <w:t>10.4</w:t>
      </w:r>
      <w:r w:rsidR="00137D84" w:rsidRPr="00592227">
        <w:rPr>
          <w:noProof/>
        </w:rPr>
        <w:t xml:space="preserve">. </w:t>
      </w:r>
      <w:r w:rsidR="0004653A" w:rsidRPr="00592227">
        <w:rPr>
          <w:noProof/>
        </w:rPr>
        <w:t>Az á</w:t>
      </w:r>
      <w:r w:rsidR="006D083F" w:rsidRPr="00592227">
        <w:rPr>
          <w:noProof/>
        </w:rPr>
        <w:t>tviteli hálózat vezetékszakaszai</w:t>
      </w:r>
      <w:r w:rsidR="0004653A" w:rsidRPr="00592227">
        <w:rPr>
          <w:noProof/>
        </w:rPr>
        <w:t xml:space="preserve"> esetében v</w:t>
      </w:r>
      <w:r w:rsidR="00EB300D" w:rsidRPr="00592227">
        <w:rPr>
          <w:noProof/>
        </w:rPr>
        <w:t xml:space="preserve">árható </w:t>
      </w:r>
      <w:r w:rsidRPr="00592227">
        <w:rPr>
          <w:noProof/>
        </w:rPr>
        <w:t xml:space="preserve">komplex </w:t>
      </w:r>
      <w:r w:rsidR="00EB300D" w:rsidRPr="00592227">
        <w:rPr>
          <w:noProof/>
        </w:rPr>
        <w:t>hatások</w:t>
      </w:r>
      <w:bookmarkEnd w:id="35"/>
    </w:p>
    <w:p w14:paraId="6754544A" w14:textId="77777777" w:rsidR="00232A46" w:rsidRPr="006D5975" w:rsidRDefault="0004653A" w:rsidP="00232A46">
      <w:r w:rsidRPr="006D5975">
        <w:t xml:space="preserve">Az éghajlati és földtani kitettségi mutatók </w:t>
      </w:r>
      <w:proofErr w:type="gramStart"/>
      <w:r w:rsidRPr="006D5975">
        <w:t>alapján</w:t>
      </w:r>
      <w:proofErr w:type="gramEnd"/>
      <w:r w:rsidRPr="006D5975">
        <w:t xml:space="preserve"> valamint a komplex érzékenységi mutatókból várható hatásra vonatkozó összetett hatásindikátort képeztünk a</w:t>
      </w:r>
      <w:r w:rsidR="00622136" w:rsidRPr="006D5975">
        <w:t xml:space="preserve"> nagyfeszültségű átviteli hálózat vezetékszakaszaira. Ennek besorolását az alábbi </w:t>
      </w:r>
      <w:r w:rsidR="00DC08C4" w:rsidRPr="006D5975">
        <w:t xml:space="preserve">4 </w:t>
      </w:r>
      <w:r w:rsidR="00622136" w:rsidRPr="006D5975">
        <w:t>tematikus térkép tartalmazza</w:t>
      </w:r>
      <w:r w:rsidR="007565DF" w:rsidRPr="006D5975">
        <w:t xml:space="preserve"> (31.ábra)</w:t>
      </w:r>
      <w:r w:rsidR="00622136" w:rsidRPr="006D5975">
        <w:t xml:space="preserve">. </w:t>
      </w:r>
      <w:r w:rsidRPr="006D5975">
        <w:t xml:space="preserve"> </w:t>
      </w:r>
      <w:r w:rsidR="00232A46" w:rsidRPr="006D5975">
        <w:t xml:space="preserve">A hatás számításához szükséges képletet a módszertani tanulmány tartalmazza, ám a számítások elvégzése és a számított adatok áttekintése után tudtuk csak létrehozni a háromosztatú úgynevezett jelzőlámpa besorolást, amelynek kategóriái (hasonló osztályközzel): 0-5 pont alacsony várható hatás, 6-10 pont közepes várható hatás, 11 pont felett magas várható hatás. </w:t>
      </w:r>
    </w:p>
    <w:p w14:paraId="443EBED2" w14:textId="77777777" w:rsidR="0004653A" w:rsidRPr="006D5975" w:rsidRDefault="00DC08C4" w:rsidP="0004653A">
      <w:r w:rsidRPr="006D5975">
        <w:t>A</w:t>
      </w:r>
      <w:r w:rsidR="00110F10" w:rsidRPr="006D5975">
        <w:t>z</w:t>
      </w:r>
      <w:r w:rsidRPr="006D5975">
        <w:t xml:space="preserve"> éghajlati modellezések eredményeit figyelembe véve megállapítható, hogy középtávon</w:t>
      </w:r>
      <w:r w:rsidR="00110F10" w:rsidRPr="006D5975">
        <w:t xml:space="preserve"> (2021-2050)</w:t>
      </w:r>
      <w:r w:rsidRPr="006D5975">
        <w:t xml:space="preserve"> a legtöbb hazai vezetékszakasz esetén várhatóan alacsony lesz az összetett hatás</w:t>
      </w:r>
      <w:r w:rsidR="007565DF" w:rsidRPr="006D5975">
        <w:t xml:space="preserve"> </w:t>
      </w:r>
      <w:proofErr w:type="gramStart"/>
      <w:r w:rsidR="007565DF" w:rsidRPr="006D5975">
        <w:t>a a</w:t>
      </w:r>
      <w:proofErr w:type="gramEnd"/>
      <w:r w:rsidR="007565DF" w:rsidRPr="006D5975">
        <w:t xml:space="preserve"> referencia időszakhoz viszonyítva</w:t>
      </w:r>
      <w:r w:rsidRPr="006D5975">
        <w:t>. Kivételt</w:t>
      </w:r>
      <w:r w:rsidR="00110F10" w:rsidRPr="006D5975">
        <w:t xml:space="preserve"> (várhatóan közepes vagy magas hatás)</w:t>
      </w:r>
      <w:r w:rsidRPr="006D5975">
        <w:t xml:space="preserve"> a következő térségek mutatnak: a Dél-Dunántú</w:t>
      </w:r>
      <w:r w:rsidR="00110F10" w:rsidRPr="006D5975">
        <w:t>l</w:t>
      </w:r>
      <w:r w:rsidRPr="006D5975">
        <w:t xml:space="preserve"> (pl. Toponár, </w:t>
      </w:r>
      <w:r w:rsidR="001F6F6C" w:rsidRPr="006D5975">
        <w:t xml:space="preserve">Paks, </w:t>
      </w:r>
      <w:r w:rsidRPr="006D5975">
        <w:t>Pécs</w:t>
      </w:r>
      <w:r w:rsidR="00110F10" w:rsidRPr="006D5975">
        <w:t xml:space="preserve"> térségének egyes vezetékszakaszai), az Északi-középhegység déli előterének több vezetékszakasza</w:t>
      </w:r>
      <w:r w:rsidRPr="006D5975">
        <w:t xml:space="preserve"> </w:t>
      </w:r>
      <w:r w:rsidR="00110F10" w:rsidRPr="006D5975">
        <w:t>(Göd-Detk-Sajószöged térsége).</w:t>
      </w:r>
    </w:p>
    <w:p w14:paraId="312BEA47" w14:textId="77777777" w:rsidR="00110F10" w:rsidRPr="006D5975" w:rsidRDefault="00110F10" w:rsidP="0004653A">
      <w:r w:rsidRPr="006D5975">
        <w:t xml:space="preserve">A hosszútávú (2071-2100) előrejelzések már árnyaltabb és erőteljesebb hatásokat vetítenek előre különösen a pesszimista éghajlati forgatókönyv (RCP 8.5) alapján. Nagy arányban csökken majd a várhatóan alacsony hatású kategóriába sorolt vezetékszakaszok száma. A Dél-Dunántúl és az Északi középhegység déli előterének több vezetékszakasza mellett több győri és budapesti </w:t>
      </w:r>
      <w:r w:rsidR="00D226AC" w:rsidRPr="006D5975">
        <w:t xml:space="preserve">agglomerációs </w:t>
      </w:r>
      <w:r w:rsidRPr="006D5975">
        <w:t>vezetékszakasz is a magas várható hatással jellem</w:t>
      </w:r>
      <w:r w:rsidR="00D226AC" w:rsidRPr="006D5975">
        <w:t>e</w:t>
      </w:r>
      <w:r w:rsidRPr="006D5975">
        <w:t>zhető kategóriába került.</w:t>
      </w:r>
      <w:r w:rsidR="001F6F6C" w:rsidRPr="006D5975">
        <w:t xml:space="preserve"> Hosszútávon is alacsony hatású kategóriába került </w:t>
      </w:r>
      <w:r w:rsidR="009D7108" w:rsidRPr="006D5975">
        <w:t xml:space="preserve">besorolásra </w:t>
      </w:r>
      <w:r w:rsidR="001F6F6C" w:rsidRPr="006D5975">
        <w:t>Albertirsa, Kerepes, Szeged, Békéscsaba térségének legtöbb vezetékszakasza.</w:t>
      </w:r>
    </w:p>
    <w:p w14:paraId="5B2F9378" w14:textId="77777777" w:rsidR="00AC3F3D" w:rsidRPr="00592227" w:rsidRDefault="00AC3F3D" w:rsidP="000B2888">
      <w:pPr>
        <w:ind w:firstLine="0"/>
        <w:jc w:val="center"/>
        <w:rPr>
          <w:sz w:val="22"/>
          <w:szCs w:val="22"/>
        </w:rPr>
      </w:pPr>
      <w:r w:rsidRPr="00592227">
        <w:rPr>
          <w:noProof/>
          <w:sz w:val="22"/>
          <w:szCs w:val="22"/>
          <w:lang w:eastAsia="hu-HU"/>
          <w14:ligatures w14:val="none"/>
        </w:rPr>
        <w:drawing>
          <wp:inline distT="0" distB="0" distL="0" distR="0" wp14:anchorId="7CF5ED6D" wp14:editId="01A27C4B">
            <wp:extent cx="5484495" cy="3380050"/>
            <wp:effectExtent l="0" t="0" r="1905"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llamose_atviteli_hatas_fekvo_23082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87595" cy="3381960"/>
                    </a:xfrm>
                    <a:prstGeom prst="rect">
                      <a:avLst/>
                    </a:prstGeom>
                  </pic:spPr>
                </pic:pic>
              </a:graphicData>
            </a:graphic>
          </wp:inline>
        </w:drawing>
      </w:r>
    </w:p>
    <w:p w14:paraId="47066D5C" w14:textId="1938D65E" w:rsidR="00241F6D" w:rsidRPr="00592227" w:rsidRDefault="00F7461A" w:rsidP="00592227">
      <w:pPr>
        <w:ind w:firstLine="0"/>
        <w:jc w:val="center"/>
        <w:rPr>
          <w:i/>
          <w:sz w:val="20"/>
        </w:rPr>
      </w:pPr>
      <w:r w:rsidRPr="00592227">
        <w:rPr>
          <w:b/>
          <w:i/>
          <w:sz w:val="20"/>
        </w:rPr>
        <w:t>31</w:t>
      </w:r>
      <w:r w:rsidR="00110F10" w:rsidRPr="00592227">
        <w:rPr>
          <w:b/>
          <w:i/>
          <w:sz w:val="20"/>
        </w:rPr>
        <w:t>. ábra</w:t>
      </w:r>
      <w:r w:rsidR="00110F10" w:rsidRPr="00592227">
        <w:rPr>
          <w:i/>
          <w:sz w:val="20"/>
        </w:rPr>
        <w:t xml:space="preserve"> Az átviteli hálózat vezetékszakaszainak várható hatásra vonatkozó</w:t>
      </w:r>
      <w:r w:rsidR="00385848" w:rsidRPr="00592227">
        <w:rPr>
          <w:i/>
          <w:sz w:val="20"/>
        </w:rPr>
        <w:t xml:space="preserve"> besorolása </w:t>
      </w:r>
      <w:r w:rsidR="00592227">
        <w:rPr>
          <w:i/>
          <w:sz w:val="20"/>
        </w:rPr>
        <w:br/>
      </w:r>
      <w:r w:rsidR="00385848" w:rsidRPr="00592227">
        <w:rPr>
          <w:i/>
          <w:sz w:val="20"/>
        </w:rPr>
        <w:t>a komplex kategóriák</w:t>
      </w:r>
      <w:r w:rsidR="00D60AF2" w:rsidRPr="00592227">
        <w:rPr>
          <w:i/>
          <w:sz w:val="20"/>
        </w:rPr>
        <w:t xml:space="preserve"> alapján</w:t>
      </w:r>
    </w:p>
    <w:p w14:paraId="6E784AFD" w14:textId="77777777" w:rsidR="00241F6D" w:rsidRPr="00592227" w:rsidRDefault="00190B89" w:rsidP="006D5975">
      <w:pPr>
        <w:pStyle w:val="Cmsor1"/>
      </w:pPr>
      <w:bookmarkStart w:id="36" w:name="_Toc147484218"/>
      <w:r w:rsidRPr="00592227">
        <w:lastRenderedPageBreak/>
        <w:t xml:space="preserve">11. </w:t>
      </w:r>
      <w:r w:rsidR="00241F6D" w:rsidRPr="00592227">
        <w:t xml:space="preserve">A </w:t>
      </w:r>
      <w:r w:rsidRPr="00592227">
        <w:t xml:space="preserve">jelen </w:t>
      </w:r>
      <w:r w:rsidR="00241F6D" w:rsidRPr="00592227">
        <w:t>vizsgálatok továbbfejlesztési lehetőségei</w:t>
      </w:r>
      <w:bookmarkEnd w:id="36"/>
    </w:p>
    <w:p w14:paraId="58E6DD4E" w14:textId="77777777" w:rsidR="00241F6D" w:rsidRPr="00592227" w:rsidRDefault="00241F6D" w:rsidP="00592227"/>
    <w:p w14:paraId="6C78D185" w14:textId="77777777" w:rsidR="00241F6D" w:rsidRPr="006D5975" w:rsidRDefault="00241F6D" w:rsidP="006D5975">
      <w:r w:rsidRPr="006D5975">
        <w:t>Az előbbiekben</w:t>
      </w:r>
      <w:r w:rsidR="00AA0DD6" w:rsidRPr="006D5975">
        <w:t xml:space="preserve"> bemutatott vizsgálatok</w:t>
      </w:r>
      <w:r w:rsidR="00190B89" w:rsidRPr="006D5975">
        <w:t xml:space="preserve"> </w:t>
      </w:r>
      <w:r w:rsidR="00AA0DD6" w:rsidRPr="006D5975">
        <w:t xml:space="preserve">vonatkozásában </w:t>
      </w:r>
      <w:r w:rsidRPr="006D5975">
        <w:t xml:space="preserve">a fő célkitűzések egyike az éghajlati és földtani komplex sérülékenység, illetve várható hatások </w:t>
      </w:r>
      <w:r w:rsidR="00AA0DD6" w:rsidRPr="006D5975">
        <w:t xml:space="preserve">volt, így a munkarészek ennek </w:t>
      </w:r>
      <w:r w:rsidRPr="006D5975">
        <w:t>irányában került</w:t>
      </w:r>
      <w:r w:rsidR="00AA0DD6" w:rsidRPr="006D5975">
        <w:t>ek</w:t>
      </w:r>
      <w:r w:rsidRPr="006D5975">
        <w:t xml:space="preserve"> elvégzésre</w:t>
      </w:r>
      <w:r w:rsidR="0076215F" w:rsidRPr="006D5975">
        <w:t xml:space="preserve"> a hatásláncok és a CIVAS modell logikája alapján</w:t>
      </w:r>
      <w:r w:rsidRPr="006D5975">
        <w:t>.</w:t>
      </w:r>
      <w:r w:rsidR="0076215F" w:rsidRPr="006D5975">
        <w:t xml:space="preserve"> Ehhez kapcsolódóan kerültek kialakításra az egyes </w:t>
      </w:r>
      <w:r w:rsidR="00190B89" w:rsidRPr="006D5975">
        <w:t>témák egyszerű mutatói és a</w:t>
      </w:r>
      <w:r w:rsidR="0076215F" w:rsidRPr="006D5975">
        <w:t xml:space="preserve"> komplex indikátorok. A cél az országos bemutathatóság és elemzés volt, ahol a jövőbeli változókat az éghajlati indikátorok jelentették.</w:t>
      </w:r>
      <w:r w:rsidRPr="006D5975">
        <w:t xml:space="preserve"> </w:t>
      </w:r>
      <w:r w:rsidR="0076215F" w:rsidRPr="006D5975">
        <w:t>A bemutatás alapja a hármas osztatú jelzőlámpa kategorizálás és bemutatás volt.</w:t>
      </w:r>
    </w:p>
    <w:p w14:paraId="06C88939" w14:textId="77777777" w:rsidR="0076215F" w:rsidRPr="006D5975" w:rsidRDefault="0076215F" w:rsidP="006D5975">
      <w:r w:rsidRPr="006D5975">
        <w:t>Éppen ezért egységesen továbbfejleszthetőek a kategorizálások és elemzések árnyaltabb</w:t>
      </w:r>
      <w:r w:rsidR="007565DF" w:rsidRPr="006D5975">
        <w:t>, például hatosztatú</w:t>
      </w:r>
      <w:r w:rsidRPr="006D5975">
        <w:t xml:space="preserve"> skála alkalmazásával, amelyet például a komplex földtani kitettségi kategóriáknál és ábrázolásnál ki is próbáltunk (ám a számításoknál </w:t>
      </w:r>
      <w:r w:rsidR="00AA0DD6" w:rsidRPr="006D5975">
        <w:t xml:space="preserve">végül </w:t>
      </w:r>
      <w:r w:rsidRPr="006D5975">
        <w:t>nem használtunk).</w:t>
      </w:r>
      <w:r w:rsidR="00190B89" w:rsidRPr="006D5975">
        <w:t xml:space="preserve"> Így a módszertani </w:t>
      </w:r>
      <w:r w:rsidR="00AA0DD6" w:rsidRPr="006D5975">
        <w:t>lépések és mutatóképezés kis vá</w:t>
      </w:r>
      <w:r w:rsidR="00190B89" w:rsidRPr="006D5975">
        <w:t xml:space="preserve">ltoztatással </w:t>
      </w:r>
      <w:r w:rsidR="00995CC5" w:rsidRPr="006D5975">
        <w:t xml:space="preserve">továbbra is </w:t>
      </w:r>
      <w:r w:rsidR="00190B89" w:rsidRPr="006D5975">
        <w:t>használható lehet</w:t>
      </w:r>
      <w:r w:rsidR="00AA0DD6" w:rsidRPr="006D5975">
        <w:t>nek</w:t>
      </w:r>
      <w:r w:rsidR="00190B89" w:rsidRPr="006D5975">
        <w:t>.</w:t>
      </w:r>
    </w:p>
    <w:p w14:paraId="11A74FFD" w14:textId="77777777" w:rsidR="0076215F" w:rsidRPr="006D5975" w:rsidRDefault="0076215F" w:rsidP="0076215F">
      <w:r w:rsidRPr="006D5975">
        <w:t>Másik irány és jó lehetőség lehet komplex (hatás- és sérülékenység) éghajlati VAGY földtani mátrixok és indikátorok kialakítása és értékelése. Külön az éghajlati vagy külön a földtani sérülékenység-vizsgálathoz a módszertani tanulmány készítésénél készült néhány kezdetleges hatásláncunk is, amelyek végül nem kerültek kidolgozásra, megvalósításra.</w:t>
      </w:r>
      <w:r w:rsidR="00190B89" w:rsidRPr="006D5975">
        <w:t xml:space="preserve"> Ugyanakkor a rendelkezésre álló 11 </w:t>
      </w:r>
      <w:r w:rsidR="00AA0DD6" w:rsidRPr="006D5975">
        <w:t xml:space="preserve">éghajlati </w:t>
      </w:r>
      <w:r w:rsidR="00190B89" w:rsidRPr="006D5975">
        <w:t xml:space="preserve">és 10 </w:t>
      </w:r>
      <w:r w:rsidR="00AA0DD6" w:rsidRPr="006D5975">
        <w:t xml:space="preserve">(+2) földtani </w:t>
      </w:r>
      <w:r w:rsidR="00190B89" w:rsidRPr="006D5975">
        <w:t>tematika és mutatóik sokrétűen használható</w:t>
      </w:r>
      <w:r w:rsidR="00995CC5" w:rsidRPr="006D5975">
        <w:t>ak</w:t>
      </w:r>
      <w:r w:rsidR="00190B89" w:rsidRPr="006D5975">
        <w:t xml:space="preserve"> lehet</w:t>
      </w:r>
      <w:r w:rsidR="00995CC5" w:rsidRPr="006D5975">
        <w:t>nek</w:t>
      </w:r>
      <w:r w:rsidR="00AA0DD6" w:rsidRPr="006D5975">
        <w:t xml:space="preserve"> ehhez</w:t>
      </w:r>
      <w:r w:rsidR="00190B89" w:rsidRPr="006D5975">
        <w:t xml:space="preserve">. </w:t>
      </w:r>
    </w:p>
    <w:p w14:paraId="29B7D0DD" w14:textId="77777777" w:rsidR="0076215F" w:rsidRPr="006D5975" w:rsidRDefault="0076215F" w:rsidP="0076215F">
      <w:r w:rsidRPr="006D5975">
        <w:t xml:space="preserve">Ezentúl komplex célvizsgálatok is elvégezhetőek lennének például a vizes témák és persze korlátaik figyelembevételével (például a 23 mm-t meghaladó csapadék mutatója, földtani felszínmozgásos/eróziós/talajvizes tematikák </w:t>
      </w:r>
      <w:r w:rsidR="00190B89" w:rsidRPr="006D5975">
        <w:t xml:space="preserve">és mutatóik </w:t>
      </w:r>
      <w:r w:rsidRPr="006D5975">
        <w:t>összekapcsolásával).</w:t>
      </w:r>
    </w:p>
    <w:p w14:paraId="09FA6BC5" w14:textId="77777777" w:rsidR="00696E32" w:rsidRPr="006D5975" w:rsidRDefault="0076215F" w:rsidP="006D5975">
      <w:r w:rsidRPr="006D5975">
        <w:t xml:space="preserve">További egyeztetések, adatgyűjtések sikere esetén </w:t>
      </w:r>
      <w:r w:rsidR="00190B89" w:rsidRPr="006D5975">
        <w:t>más</w:t>
      </w:r>
      <w:r w:rsidR="000C49EC" w:rsidRPr="006D5975">
        <w:t xml:space="preserve"> (például energiatermelő, elosztói, mélyföldtani stb.) rendszer</w:t>
      </w:r>
      <w:r w:rsidR="00190B89" w:rsidRPr="006D5975">
        <w:t xml:space="preserve">ek és </w:t>
      </w:r>
      <w:r w:rsidR="000C49EC" w:rsidRPr="006D5975">
        <w:t>eleme</w:t>
      </w:r>
      <w:r w:rsidR="00190B89" w:rsidRPr="006D5975">
        <w:t>i</w:t>
      </w:r>
      <w:r w:rsidR="000C49EC" w:rsidRPr="006D5975">
        <w:t>k vizsgálata</w:t>
      </w:r>
      <w:r w:rsidR="00190B89" w:rsidRPr="006D5975">
        <w:t xml:space="preserve"> is megvalósítható</w:t>
      </w:r>
      <w:r w:rsidR="00AA0DD6" w:rsidRPr="006D5975">
        <w:t xml:space="preserve"> lehet</w:t>
      </w:r>
      <w:r w:rsidR="000C49EC" w:rsidRPr="006D5975">
        <w:t xml:space="preserve"> (például: nagyerőművek, távfűtőművek</w:t>
      </w:r>
      <w:r w:rsidR="00190B89" w:rsidRPr="006D5975">
        <w:t>, elosztói hálózatok, esetleg földgáztárolók és rendszerelemeik esetén). Az első munkafázisokban készítettünk ilyen hatásláncokat is, ám a rendelkezésre áll</w:t>
      </w:r>
      <w:r w:rsidR="000B2888" w:rsidRPr="006D5975">
        <w:t xml:space="preserve">ó </w:t>
      </w:r>
      <w:r w:rsidR="00AA0DD6" w:rsidRPr="006D5975">
        <w:t xml:space="preserve">és elérhető </w:t>
      </w:r>
      <w:r w:rsidR="000B2888" w:rsidRPr="006D5975">
        <w:t>adatok korlátos volta miatt</w:t>
      </w:r>
      <w:r w:rsidR="00190B89" w:rsidRPr="006D5975">
        <w:t xml:space="preserve"> ezeket nem tudtuk megvalósítani.</w:t>
      </w:r>
    </w:p>
    <w:p w14:paraId="7D864A6C" w14:textId="77777777" w:rsidR="00190B89" w:rsidRPr="006D5975" w:rsidRDefault="00190B89" w:rsidP="000B2888">
      <w:r w:rsidRPr="006D5975">
        <w:t xml:space="preserve">Területi értelemben </w:t>
      </w:r>
      <w:r w:rsidR="00AA0DD6" w:rsidRPr="006D5975">
        <w:t>nagy</w:t>
      </w:r>
      <w:r w:rsidRPr="006D5975">
        <w:t xml:space="preserve">táj szintig </w:t>
      </w:r>
      <w:r w:rsidR="00AA0DD6" w:rsidRPr="006D5975">
        <w:t xml:space="preserve">biztosan </w:t>
      </w:r>
      <w:r w:rsidRPr="006D5975">
        <w:t>vizsgálható</w:t>
      </w:r>
      <w:r w:rsidR="00995CC5" w:rsidRPr="006D5975">
        <w:t>ak</w:t>
      </w:r>
      <w:r w:rsidRPr="006D5975">
        <w:t xml:space="preserve"> a meglévő adatok (vagy frissítéseik) és indikátorok segítségével a sérülékenység vagy más tematikák</w:t>
      </w:r>
      <w:r w:rsidR="000B2888" w:rsidRPr="006D5975">
        <w:t>.</w:t>
      </w:r>
      <w:r w:rsidRPr="006D5975">
        <w:t xml:space="preserve"> Vagyis az adatállomány r</w:t>
      </w:r>
      <w:r w:rsidR="000C49EC" w:rsidRPr="006D5975">
        <w:t xml:space="preserve">észletesebb regionális, területi értékelésre is alkalmas </w:t>
      </w:r>
      <w:r w:rsidRPr="006D5975">
        <w:t xml:space="preserve">lehet. Viszont </w:t>
      </w:r>
      <w:r w:rsidR="000C49EC" w:rsidRPr="006D5975">
        <w:t>település-/mérnökgeológiaira nem</w:t>
      </w:r>
      <w:r w:rsidR="00AA0DD6" w:rsidRPr="006D5975">
        <w:t xml:space="preserve"> alkal</w:t>
      </w:r>
      <w:r w:rsidR="000B2888" w:rsidRPr="006D5975">
        <w:t>mas</w:t>
      </w:r>
      <w:r w:rsidRPr="006D5975">
        <w:t xml:space="preserve">, hiszen </w:t>
      </w:r>
      <w:r w:rsidR="000B2888" w:rsidRPr="006D5975">
        <w:t xml:space="preserve">például </w:t>
      </w:r>
      <w:r w:rsidRPr="006D5975">
        <w:t>a földtani térképek zöme</w:t>
      </w:r>
      <w:r w:rsidR="000C49EC" w:rsidRPr="006D5975">
        <w:t xml:space="preserve"> 1:100</w:t>
      </w:r>
      <w:r w:rsidR="00995CC5" w:rsidRPr="006D5975">
        <w:t>.</w:t>
      </w:r>
      <w:r w:rsidR="000C49EC" w:rsidRPr="006D5975">
        <w:t>000</w:t>
      </w:r>
      <w:r w:rsidRPr="006D5975">
        <w:t>-es méretarányban és ehhez ille</w:t>
      </w:r>
      <w:r w:rsidR="000B2888" w:rsidRPr="006D5975">
        <w:t>szkedő pontossággal</w:t>
      </w:r>
      <w:r w:rsidR="00AA0DD6" w:rsidRPr="006D5975">
        <w:t>, részletességgel</w:t>
      </w:r>
      <w:r w:rsidR="000B2888" w:rsidRPr="006D5975">
        <w:t xml:space="preserve"> </w:t>
      </w:r>
      <w:r w:rsidR="00AA0DD6" w:rsidRPr="006D5975">
        <w:t>áll rendelkezésre</w:t>
      </w:r>
      <w:r w:rsidR="000B2888" w:rsidRPr="006D5975">
        <w:t>.</w:t>
      </w:r>
    </w:p>
    <w:p w14:paraId="61BAB3DD" w14:textId="77777777" w:rsidR="006D5975" w:rsidRDefault="006D5975">
      <w:pPr>
        <w:widowControl/>
        <w:spacing w:after="160" w:line="259" w:lineRule="auto"/>
        <w:ind w:firstLine="0"/>
        <w:jc w:val="left"/>
        <w:rPr>
          <w:rFonts w:eastAsiaTheme="majorEastAsia"/>
          <w:color w:val="2E74B5" w:themeColor="accent1" w:themeShade="BF"/>
          <w:sz w:val="28"/>
          <w:szCs w:val="32"/>
        </w:rPr>
      </w:pPr>
      <w:r>
        <w:br w:type="page"/>
      </w:r>
    </w:p>
    <w:p w14:paraId="3593AC5C" w14:textId="71BC594C" w:rsidR="0076215F" w:rsidRPr="00592227" w:rsidRDefault="00592227" w:rsidP="006D5975">
      <w:pPr>
        <w:pStyle w:val="Cmsor1"/>
      </w:pPr>
      <w:bookmarkStart w:id="37" w:name="_Toc147484219"/>
      <w:r>
        <w:lastRenderedPageBreak/>
        <w:t>Felhasznált i</w:t>
      </w:r>
      <w:r w:rsidR="0076215F" w:rsidRPr="00592227">
        <w:t>rodalom</w:t>
      </w:r>
      <w:bookmarkEnd w:id="37"/>
    </w:p>
    <w:p w14:paraId="7D3BEE8F" w14:textId="77777777" w:rsidR="0076215F" w:rsidRPr="00592227" w:rsidRDefault="0076215F" w:rsidP="00EB300D"/>
    <w:p w14:paraId="5B019098" w14:textId="77777777" w:rsidR="00D60AF2" w:rsidRPr="00592227" w:rsidRDefault="00385848" w:rsidP="00D60AF2">
      <w:pPr>
        <w:widowControl/>
        <w:pBdr>
          <w:top w:val="nil"/>
          <w:left w:val="nil"/>
          <w:bottom w:val="nil"/>
          <w:right w:val="nil"/>
          <w:between w:val="nil"/>
        </w:pBdr>
        <w:ind w:firstLine="0"/>
        <w:rPr>
          <w:color w:val="000000"/>
        </w:rPr>
      </w:pPr>
      <w:r w:rsidRPr="00592227">
        <w:rPr>
          <w:color w:val="000000"/>
        </w:rPr>
        <w:t xml:space="preserve">FICÉP (2019): A magyarországi villamosenergia-ellátás </w:t>
      </w:r>
      <w:r w:rsidR="00D60AF2" w:rsidRPr="00592227">
        <w:rPr>
          <w:color w:val="000000"/>
        </w:rPr>
        <w:t>éghajlati szempontú értékelése.</w:t>
      </w:r>
    </w:p>
    <w:p w14:paraId="75D4550A" w14:textId="77777777" w:rsidR="00D60AF2" w:rsidRPr="00592227" w:rsidRDefault="00385848" w:rsidP="00D60AF2">
      <w:pPr>
        <w:widowControl/>
        <w:pBdr>
          <w:top w:val="nil"/>
          <w:left w:val="nil"/>
          <w:bottom w:val="nil"/>
          <w:right w:val="nil"/>
          <w:between w:val="nil"/>
        </w:pBdr>
        <w:ind w:left="708" w:firstLine="0"/>
        <w:rPr>
          <w:color w:val="000000" w:themeColor="text1"/>
        </w:rPr>
      </w:pPr>
      <w:r w:rsidRPr="00592227">
        <w:rPr>
          <w:color w:val="000000" w:themeColor="text1"/>
          <w:u w:val="single"/>
        </w:rPr>
        <w:t>https://nater.mbfsz.gov.hu/sites/nater.mfgi.hu/files/files/FICEP_NATeR_villamosenergia_serulekenyseg_tanulmany.pdf</w:t>
      </w:r>
      <w:r w:rsidRPr="00592227">
        <w:rPr>
          <w:color w:val="000000" w:themeColor="text1"/>
        </w:rPr>
        <w:t xml:space="preserve"> </w:t>
      </w:r>
    </w:p>
    <w:p w14:paraId="5D305D2B" w14:textId="77777777" w:rsidR="00946A2D" w:rsidRPr="00592227" w:rsidRDefault="00385848" w:rsidP="00D60AF2">
      <w:pPr>
        <w:widowControl/>
        <w:pBdr>
          <w:top w:val="nil"/>
          <w:left w:val="nil"/>
          <w:bottom w:val="nil"/>
          <w:right w:val="nil"/>
          <w:between w:val="nil"/>
        </w:pBdr>
        <w:ind w:firstLine="708"/>
        <w:rPr>
          <w:color w:val="000000"/>
        </w:rPr>
      </w:pPr>
      <w:r w:rsidRPr="00592227">
        <w:rPr>
          <w:color w:val="000000"/>
        </w:rPr>
        <w:t>(Letöltés ideje: 2020. július 1.)</w:t>
      </w:r>
    </w:p>
    <w:p w14:paraId="13833BAB" w14:textId="77777777" w:rsidR="00D60AF2" w:rsidRPr="00592227" w:rsidRDefault="00E3204F" w:rsidP="00D60AF2">
      <w:pPr>
        <w:widowControl/>
        <w:pBdr>
          <w:top w:val="nil"/>
          <w:left w:val="nil"/>
          <w:bottom w:val="nil"/>
          <w:right w:val="nil"/>
          <w:between w:val="nil"/>
        </w:pBdr>
        <w:ind w:firstLine="0"/>
        <w:jc w:val="left"/>
        <w:rPr>
          <w:color w:val="000000"/>
        </w:rPr>
      </w:pPr>
      <w:r w:rsidRPr="00592227">
        <w:rPr>
          <w:color w:val="000000"/>
        </w:rPr>
        <w:t xml:space="preserve">Geogold Kárpátia Kft. (2019 a): A távhőellátás </w:t>
      </w:r>
      <w:r w:rsidR="00D60AF2" w:rsidRPr="00592227">
        <w:rPr>
          <w:color w:val="000000"/>
        </w:rPr>
        <w:t>éghajlati szempontú értékelése.</w:t>
      </w:r>
    </w:p>
    <w:p w14:paraId="2782E7B2" w14:textId="77777777" w:rsidR="00D60AF2" w:rsidRPr="00592227" w:rsidRDefault="00D60AF2" w:rsidP="00D60AF2">
      <w:pPr>
        <w:widowControl/>
        <w:pBdr>
          <w:top w:val="nil"/>
          <w:left w:val="nil"/>
          <w:bottom w:val="nil"/>
          <w:right w:val="nil"/>
          <w:between w:val="nil"/>
        </w:pBdr>
        <w:ind w:left="708" w:firstLine="0"/>
        <w:jc w:val="left"/>
        <w:rPr>
          <w:color w:val="000000"/>
        </w:rPr>
      </w:pPr>
      <w:r w:rsidRPr="00592227">
        <w:rPr>
          <w:color w:val="000000"/>
        </w:rPr>
        <w:t>https://nater.mbfsz.gov.hu/sites/nater.mfgi.hu/files/files/NATeR_Tavhoellatas_tanulmany.pdf</w:t>
      </w:r>
      <w:r w:rsidR="00E3204F" w:rsidRPr="00592227">
        <w:rPr>
          <w:color w:val="000000"/>
        </w:rPr>
        <w:t xml:space="preserve"> </w:t>
      </w:r>
    </w:p>
    <w:p w14:paraId="34CDEEF9" w14:textId="77777777" w:rsidR="00D60AF2" w:rsidRPr="00592227" w:rsidRDefault="00E3204F" w:rsidP="00D60AF2">
      <w:pPr>
        <w:widowControl/>
        <w:pBdr>
          <w:top w:val="nil"/>
          <w:left w:val="nil"/>
          <w:bottom w:val="nil"/>
          <w:right w:val="nil"/>
          <w:between w:val="nil"/>
        </w:pBdr>
        <w:ind w:left="708" w:firstLine="0"/>
        <w:jc w:val="left"/>
        <w:rPr>
          <w:color w:val="000000"/>
        </w:rPr>
      </w:pPr>
      <w:r w:rsidRPr="00592227">
        <w:rPr>
          <w:color w:val="000000"/>
        </w:rPr>
        <w:t>(Letölt</w:t>
      </w:r>
      <w:r w:rsidR="00D60AF2" w:rsidRPr="00592227">
        <w:rPr>
          <w:color w:val="000000"/>
        </w:rPr>
        <w:t>és ideje: 2020. szeptember 15.)</w:t>
      </w:r>
    </w:p>
    <w:p w14:paraId="5D79F097" w14:textId="77777777" w:rsidR="00D60AF2" w:rsidRPr="00592227" w:rsidRDefault="00E3204F" w:rsidP="00D60AF2">
      <w:pPr>
        <w:widowControl/>
        <w:pBdr>
          <w:top w:val="nil"/>
          <w:left w:val="nil"/>
          <w:bottom w:val="nil"/>
          <w:right w:val="nil"/>
          <w:between w:val="nil"/>
        </w:pBdr>
        <w:ind w:firstLine="0"/>
        <w:jc w:val="left"/>
        <w:rPr>
          <w:color w:val="000000"/>
        </w:rPr>
      </w:pPr>
      <w:r w:rsidRPr="00592227">
        <w:rPr>
          <w:color w:val="000000"/>
        </w:rPr>
        <w:t>Geogold Kárpátia Kft. (2019 b): A gázellátás éghajlati szempont</w:t>
      </w:r>
      <w:r w:rsidR="00D60AF2" w:rsidRPr="00592227">
        <w:rPr>
          <w:color w:val="000000"/>
        </w:rPr>
        <w:t>ú értékelése.</w:t>
      </w:r>
    </w:p>
    <w:p w14:paraId="1D31F3A3" w14:textId="77777777" w:rsidR="00E3204F" w:rsidRPr="00592227" w:rsidRDefault="00E3204F" w:rsidP="00D60AF2">
      <w:pPr>
        <w:widowControl/>
        <w:pBdr>
          <w:top w:val="nil"/>
          <w:left w:val="nil"/>
          <w:bottom w:val="nil"/>
          <w:right w:val="nil"/>
          <w:between w:val="nil"/>
        </w:pBdr>
        <w:ind w:firstLine="708"/>
        <w:jc w:val="left"/>
        <w:rPr>
          <w:color w:val="000000"/>
        </w:rPr>
      </w:pPr>
      <w:r w:rsidRPr="00592227">
        <w:t>https://nater.mbfsz.gov.hu/sites/nater.mfgi.hu/files/files/NATeR_gaz_tanulmany.pdf</w:t>
      </w:r>
    </w:p>
    <w:p w14:paraId="7322A3B0" w14:textId="77777777" w:rsidR="00E3204F" w:rsidRPr="00592227" w:rsidRDefault="00E3204F" w:rsidP="00D60AF2">
      <w:pPr>
        <w:pBdr>
          <w:top w:val="nil"/>
          <w:left w:val="nil"/>
          <w:bottom w:val="nil"/>
          <w:right w:val="nil"/>
          <w:between w:val="nil"/>
        </w:pBdr>
        <w:ind w:firstLine="708"/>
        <w:rPr>
          <w:color w:val="000000"/>
        </w:rPr>
      </w:pPr>
      <w:r w:rsidRPr="00592227">
        <w:rPr>
          <w:color w:val="000000"/>
        </w:rPr>
        <w:t>(Letöltés ideje: 2020. szeptember 15.)</w:t>
      </w:r>
    </w:p>
    <w:p w14:paraId="4F8A92D7" w14:textId="77777777" w:rsidR="00946A2D" w:rsidRPr="00592227" w:rsidRDefault="00946A2D" w:rsidP="00946A2D">
      <w:pPr>
        <w:ind w:left="709" w:hanging="709"/>
      </w:pPr>
      <w:r w:rsidRPr="00592227">
        <w:t>IPCC (2007): Climate Change 2007 – The Physical Science Basis. Contribution of Working Group I to the Fourth Assessment Report of the IPCC. (ISBN 978 0521 88009-1 Hardback; 978 0521 70596-7 Paperback).</w:t>
      </w:r>
    </w:p>
    <w:p w14:paraId="5B55191D" w14:textId="77777777" w:rsidR="00620B0D" w:rsidRPr="00592227" w:rsidRDefault="00946A2D" w:rsidP="00946A2D">
      <w:pPr>
        <w:ind w:left="709" w:hanging="709"/>
      </w:pPr>
      <w:r w:rsidRPr="00592227">
        <w:t>Pálvölgyi T., Czira T., Dobozi E., Rideg A., Schneller K. (2010): A kistérségi szintű éghajlat-változási sérülékenység-vizsgálat módszere és eredményei. — Klíma-21” Füzetek: Klímaváltozás – Hatások – Válaszok, 2010. 62. szám 88–102. pp.</w:t>
      </w:r>
    </w:p>
    <w:p w14:paraId="362F3E5C" w14:textId="77777777" w:rsidR="00620B0D" w:rsidRPr="00592227" w:rsidRDefault="00620B0D" w:rsidP="00620B0D">
      <w:pPr>
        <w:ind w:left="708" w:hanging="709"/>
      </w:pPr>
      <w:r w:rsidRPr="00592227">
        <w:t>Rotárné Szalkai Á., Homolya E., Selmeczi P. (2016): Az ivóvízbázisok klíma sérülékenysége. — Hidrológiai Közlöny.</w:t>
      </w:r>
    </w:p>
    <w:p w14:paraId="31FAED5C" w14:textId="77777777" w:rsidR="00EB300D" w:rsidRPr="00592227" w:rsidRDefault="00620B0D" w:rsidP="00620B0D">
      <w:pPr>
        <w:ind w:left="708" w:hanging="709"/>
      </w:pPr>
      <w:r w:rsidRPr="00592227">
        <w:t>Sütő, A. (szerk.) (2016): Éghajlatváltozás és alkalmazkodás A Nemzeti Alkalmazkodási Térinformatikai Rendszer (NATéR) kialakítása. Magyar Földtani és Geofizikai intézet, Budapest.</w:t>
      </w:r>
    </w:p>
    <w:p w14:paraId="10A5A53C" w14:textId="77777777" w:rsidR="00D80777" w:rsidRPr="00592227" w:rsidRDefault="001E1AFB" w:rsidP="00F7461A">
      <w:pPr>
        <w:ind w:left="708" w:hanging="709"/>
      </w:pPr>
      <w:r w:rsidRPr="00592227">
        <w:t>Tildy P. et al. (2019): A földtani veszélyforrások éghajlatvédelmi szempontú értékelése — Kézirat, szakmai zárójelentés, NATÉR 2. Magyar Bányászati és Földtani Szolgálat, Budapest.</w:t>
      </w:r>
    </w:p>
    <w:sectPr w:rsidR="00D80777" w:rsidRPr="005922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85070" w14:textId="77777777" w:rsidR="00B24193" w:rsidRDefault="00B24193" w:rsidP="00D80777">
      <w:r>
        <w:separator/>
      </w:r>
    </w:p>
  </w:endnote>
  <w:endnote w:type="continuationSeparator" w:id="0">
    <w:p w14:paraId="0C66BDF6" w14:textId="77777777" w:rsidR="00B24193" w:rsidRDefault="00B24193" w:rsidP="00D80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D796" w14:textId="57498C57" w:rsidR="00095DB2" w:rsidRDefault="00095DB2" w:rsidP="003C305A">
    <w:pPr>
      <w:pBdr>
        <w:top w:val="nil"/>
        <w:left w:val="nil"/>
        <w:bottom w:val="nil"/>
        <w:right w:val="nil"/>
        <w:between w:val="nil"/>
      </w:pBdr>
      <w:tabs>
        <w:tab w:val="center" w:pos="4536"/>
        <w:tab w:val="right" w:pos="9072"/>
      </w:tabs>
      <w:spacing w:after="120"/>
      <w:ind w:firstLine="567"/>
      <w:jc w:val="center"/>
      <w:rPr>
        <w:color w:val="000000"/>
      </w:rPr>
    </w:pPr>
    <w:r>
      <w:rPr>
        <w:color w:val="000000"/>
      </w:rPr>
      <w:fldChar w:fldCharType="begin"/>
    </w:r>
    <w:r>
      <w:rPr>
        <w:color w:val="000000"/>
      </w:rPr>
      <w:instrText>PAGE</w:instrText>
    </w:r>
    <w:r>
      <w:rPr>
        <w:color w:val="000000"/>
      </w:rPr>
      <w:fldChar w:fldCharType="separate"/>
    </w:r>
    <w:r w:rsidR="003C4206">
      <w:rPr>
        <w:noProof/>
        <w:color w:val="000000"/>
      </w:rPr>
      <w:t>6</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97821" w14:textId="77777777" w:rsidR="00B24193" w:rsidRDefault="00B24193" w:rsidP="00D80777">
      <w:r>
        <w:separator/>
      </w:r>
    </w:p>
  </w:footnote>
  <w:footnote w:type="continuationSeparator" w:id="0">
    <w:p w14:paraId="565FE3C9" w14:textId="77777777" w:rsidR="00B24193" w:rsidRDefault="00B24193" w:rsidP="00D80777">
      <w:r>
        <w:continuationSeparator/>
      </w:r>
    </w:p>
  </w:footnote>
  <w:footnote w:id="1">
    <w:p w14:paraId="5636E25D" w14:textId="77777777" w:rsidR="00095DB2" w:rsidRPr="00F92169" w:rsidRDefault="00095DB2" w:rsidP="00D80777">
      <w:pPr>
        <w:pStyle w:val="Lbjegyzetszveg"/>
        <w:rPr>
          <w:rFonts w:ascii="Times New Roman" w:hAnsi="Times New Roman" w:cs="Times New Roman"/>
        </w:rPr>
      </w:pPr>
      <w:r w:rsidRPr="00F92169">
        <w:rPr>
          <w:rStyle w:val="Lbjegyzet-hivatkozs"/>
          <w:rFonts w:ascii="Times New Roman" w:hAnsi="Times New Roman" w:cs="Times New Roman"/>
        </w:rPr>
        <w:footnoteRef/>
      </w:r>
      <w:r w:rsidRPr="00F92169">
        <w:rPr>
          <w:rFonts w:ascii="Times New Roman" w:hAnsi="Times New Roman" w:cs="Times New Roman"/>
        </w:rPr>
        <w:t xml:space="preserve"> Elérése: https://nater.mbfsz.gov.hu/</w:t>
      </w:r>
    </w:p>
  </w:footnote>
  <w:footnote w:id="2">
    <w:p w14:paraId="1A75F8F5" w14:textId="77777777" w:rsidR="00095DB2" w:rsidRDefault="00095DB2" w:rsidP="003C305A">
      <w:pPr>
        <w:pBdr>
          <w:top w:val="nil"/>
          <w:left w:val="nil"/>
          <w:bottom w:val="nil"/>
          <w:right w:val="nil"/>
          <w:between w:val="nil"/>
        </w:pBdr>
        <w:ind w:firstLine="0"/>
        <w:rPr>
          <w:color w:val="000000"/>
          <w:sz w:val="20"/>
        </w:rPr>
      </w:pPr>
      <w:r>
        <w:rPr>
          <w:vertAlign w:val="superscript"/>
        </w:rPr>
        <w:footnoteRef/>
      </w:r>
      <w:r>
        <w:rPr>
          <w:color w:val="000000"/>
          <w:sz w:val="20"/>
        </w:rPr>
        <w:t xml:space="preserve"> CLAVIER (</w:t>
      </w:r>
      <w:proofErr w:type="spellStart"/>
      <w:r>
        <w:rPr>
          <w:color w:val="000000"/>
          <w:sz w:val="20"/>
        </w:rPr>
        <w:t>Climate</w:t>
      </w:r>
      <w:proofErr w:type="spellEnd"/>
      <w:r>
        <w:rPr>
          <w:color w:val="000000"/>
          <w:sz w:val="20"/>
        </w:rPr>
        <w:t xml:space="preserve"> </w:t>
      </w:r>
      <w:proofErr w:type="spellStart"/>
      <w:r>
        <w:rPr>
          <w:color w:val="000000"/>
          <w:sz w:val="20"/>
        </w:rPr>
        <w:t>Change</w:t>
      </w:r>
      <w:proofErr w:type="spellEnd"/>
      <w:r>
        <w:rPr>
          <w:color w:val="000000"/>
          <w:sz w:val="20"/>
        </w:rPr>
        <w:t xml:space="preserve"> and </w:t>
      </w:r>
      <w:proofErr w:type="spellStart"/>
      <w:r>
        <w:rPr>
          <w:color w:val="000000"/>
          <w:sz w:val="20"/>
        </w:rPr>
        <w:t>Variability</w:t>
      </w:r>
      <w:proofErr w:type="spellEnd"/>
      <w:r>
        <w:rPr>
          <w:color w:val="000000"/>
          <w:sz w:val="20"/>
        </w:rPr>
        <w:t xml:space="preserve">: </w:t>
      </w:r>
      <w:proofErr w:type="spellStart"/>
      <w:r>
        <w:rPr>
          <w:color w:val="000000"/>
          <w:sz w:val="20"/>
        </w:rPr>
        <w:t>Impact</w:t>
      </w:r>
      <w:proofErr w:type="spellEnd"/>
      <w:r>
        <w:rPr>
          <w:color w:val="000000"/>
          <w:sz w:val="20"/>
        </w:rPr>
        <w:t xml:space="preserve"> </w:t>
      </w:r>
      <w:proofErr w:type="spellStart"/>
      <w:r>
        <w:rPr>
          <w:color w:val="000000"/>
          <w:sz w:val="20"/>
        </w:rPr>
        <w:t>on</w:t>
      </w:r>
      <w:proofErr w:type="spellEnd"/>
      <w:r>
        <w:rPr>
          <w:color w:val="000000"/>
          <w:sz w:val="20"/>
        </w:rPr>
        <w:t xml:space="preserve"> </w:t>
      </w:r>
      <w:proofErr w:type="spellStart"/>
      <w:r>
        <w:rPr>
          <w:color w:val="000000"/>
          <w:sz w:val="20"/>
        </w:rPr>
        <w:t>Central</w:t>
      </w:r>
      <w:proofErr w:type="spellEnd"/>
      <w:r>
        <w:rPr>
          <w:color w:val="000000"/>
          <w:sz w:val="20"/>
        </w:rPr>
        <w:t xml:space="preserve"> and </w:t>
      </w:r>
      <w:proofErr w:type="spellStart"/>
      <w:r>
        <w:rPr>
          <w:color w:val="000000"/>
          <w:sz w:val="20"/>
        </w:rPr>
        <w:t>Eastern</w:t>
      </w:r>
      <w:proofErr w:type="spellEnd"/>
      <w:r>
        <w:rPr>
          <w:color w:val="000000"/>
          <w:sz w:val="20"/>
        </w:rPr>
        <w:t xml:space="preserve"> Europe) – a projekt célja az volt, hogy segítse a közép- és </w:t>
      </w:r>
      <w:proofErr w:type="spellStart"/>
      <w:r>
        <w:rPr>
          <w:color w:val="000000"/>
          <w:sz w:val="20"/>
        </w:rPr>
        <w:t>kelet-európai</w:t>
      </w:r>
      <w:proofErr w:type="spellEnd"/>
      <w:r>
        <w:rPr>
          <w:color w:val="000000"/>
          <w:sz w:val="20"/>
        </w:rPr>
        <w:t xml:space="preserve"> országok alkalmazkodását az éghajlatváltozás hosszú távú hatásaihoz és az egyre gyakoribbá váló szélsőséges klímaeseményekhez, valamint a megváltozott politikai és gazdasági helyzethez.</w:t>
      </w:r>
    </w:p>
  </w:footnote>
  <w:footnote w:id="3">
    <w:p w14:paraId="451A27FF" w14:textId="77777777" w:rsidR="00095DB2" w:rsidRDefault="00095DB2" w:rsidP="003C305A">
      <w:pPr>
        <w:pBdr>
          <w:top w:val="nil"/>
          <w:left w:val="nil"/>
          <w:bottom w:val="nil"/>
          <w:right w:val="nil"/>
          <w:between w:val="nil"/>
        </w:pBdr>
        <w:ind w:firstLine="0"/>
        <w:rPr>
          <w:color w:val="000000"/>
          <w:sz w:val="20"/>
        </w:rPr>
      </w:pPr>
      <w:r>
        <w:rPr>
          <w:vertAlign w:val="superscript"/>
        </w:rPr>
        <w:footnoteRef/>
      </w:r>
      <w:r>
        <w:rPr>
          <w:color w:val="000000"/>
          <w:sz w:val="20"/>
        </w:rPr>
        <w:t xml:space="preserve"> Az Európai Unióban kidolgozott és elfogadott környezetértékelési vizsgálati modell DPSIR (Driving Force – Pressure – State – Impact – Response”) Hajtóerők – Terhelés – Állapot – Hatás – Válasz. A keretrendszer a társadalom és a környezet közötti kölcsönhatásokat, az egymástól való függésüket írja le. A társadalmi tevékenységek terhelik a környezetet, mennyiségi és minőségi átalakulásokat idézve elő benne, ugyanakkor a környezetben történő változások a társadalom válaszreakcióival járnak együtt.</w:t>
      </w:r>
    </w:p>
  </w:footnote>
  <w:footnote w:id="4">
    <w:p w14:paraId="18A88E2C" w14:textId="77777777" w:rsidR="00095DB2" w:rsidRPr="009C524F" w:rsidRDefault="00095DB2" w:rsidP="003C305A">
      <w:pPr>
        <w:pStyle w:val="Lbjegyzetszveg"/>
        <w:rPr>
          <w:rFonts w:ascii="Times New Roman" w:hAnsi="Times New Roman" w:cs="Times New Roman"/>
          <w:sz w:val="22"/>
          <w:szCs w:val="22"/>
        </w:rPr>
      </w:pPr>
      <w:r w:rsidRPr="009C524F">
        <w:rPr>
          <w:rStyle w:val="Lbjegyzet-hivatkozs"/>
          <w:rFonts w:ascii="Times New Roman" w:hAnsi="Times New Roman" w:cs="Times New Roman"/>
          <w:sz w:val="22"/>
          <w:szCs w:val="22"/>
        </w:rPr>
        <w:footnoteRef/>
      </w:r>
      <w:r w:rsidRPr="009C524F">
        <w:rPr>
          <w:rFonts w:ascii="Times New Roman" w:hAnsi="Times New Roman" w:cs="Times New Roman"/>
          <w:sz w:val="22"/>
          <w:szCs w:val="22"/>
        </w:rPr>
        <w:t xml:space="preserve"> A hazai nagynyomású földgázrendszer és felszíni létesítményeinek tömör bemutatása továbbá a módszertani lépések és az egyes mutatóképzési metódusok megtalálhatóak a jelen kutatás keretében elkészített módszertani tanulmányban. A módszertani pontosításokat, kiegészítéseket, bővítéseket itt közöljük.</w:t>
      </w:r>
    </w:p>
  </w:footnote>
  <w:footnote w:id="5">
    <w:p w14:paraId="120C4E94" w14:textId="2F691ED0" w:rsidR="00095DB2" w:rsidRPr="003C305A" w:rsidRDefault="00095DB2" w:rsidP="003C305A">
      <w:pPr>
        <w:ind w:firstLine="0"/>
        <w:jc w:val="left"/>
        <w:rPr>
          <w:sz w:val="22"/>
          <w:szCs w:val="22"/>
        </w:rPr>
      </w:pPr>
      <w:r w:rsidRPr="009C524F">
        <w:rPr>
          <w:rStyle w:val="Lbjegyzet-hivatkozs"/>
          <w:sz w:val="22"/>
          <w:szCs w:val="22"/>
        </w:rPr>
        <w:footnoteRef/>
      </w:r>
      <w:r w:rsidRPr="009C524F">
        <w:rPr>
          <w:sz w:val="22"/>
          <w:szCs w:val="22"/>
        </w:rPr>
        <w:t xml:space="preserve"> Köszönettel tartozunk az FGSZ szakembereinek sokrétű segítségükért, az átadott adatokért és szaktanácsokért!</w:t>
      </w:r>
    </w:p>
  </w:footnote>
  <w:footnote w:id="6">
    <w:p w14:paraId="244DD17E" w14:textId="77777777" w:rsidR="00095DB2" w:rsidRPr="00241F6D" w:rsidRDefault="00095DB2" w:rsidP="003C305A">
      <w:pPr>
        <w:pStyle w:val="Lbjegyzetszveg"/>
        <w:rPr>
          <w:rFonts w:ascii="Times New Roman" w:hAnsi="Times New Roman" w:cs="Times New Roman"/>
        </w:rPr>
      </w:pPr>
      <w:r w:rsidRPr="00241F6D">
        <w:rPr>
          <w:rStyle w:val="Lbjegyzet-hivatkozs"/>
          <w:rFonts w:ascii="Times New Roman" w:hAnsi="Times New Roman" w:cs="Times New Roman"/>
        </w:rPr>
        <w:footnoteRef/>
      </w:r>
      <w:r w:rsidRPr="00241F6D">
        <w:rPr>
          <w:rFonts w:ascii="Times New Roman" w:hAnsi="Times New Roman" w:cs="Times New Roman"/>
        </w:rPr>
        <w:t xml:space="preserve"> A hazai nagynyomású földgázrendszer és felszíni létesítményeinek tömör bemutatása továbbá a módszertani lépések és az egyes mutatóképzési metódusok megtalálhatóak a jelen kutatás keretében elkészített módszertani tanulmányban. A módszertani pontosításokat, kiegészítéseket, bővítéseket itt közöljük.</w:t>
      </w:r>
    </w:p>
  </w:footnote>
  <w:footnote w:id="7">
    <w:p w14:paraId="42AFC42D" w14:textId="2E2DAA13" w:rsidR="00095DB2" w:rsidRPr="003C305A" w:rsidRDefault="00095DB2" w:rsidP="003C305A">
      <w:pPr>
        <w:ind w:firstLine="0"/>
        <w:rPr>
          <w:sz w:val="20"/>
        </w:rPr>
      </w:pPr>
      <w:r w:rsidRPr="00241F6D">
        <w:rPr>
          <w:rStyle w:val="Lbjegyzet-hivatkozs"/>
          <w:sz w:val="20"/>
        </w:rPr>
        <w:footnoteRef/>
      </w:r>
      <w:r w:rsidRPr="00241F6D">
        <w:rPr>
          <w:sz w:val="20"/>
        </w:rPr>
        <w:t xml:space="preserve"> Köszönettel tartozunk az FGSZ szakembereinek sokrétű segítségükért!</w:t>
      </w:r>
    </w:p>
  </w:footnote>
  <w:footnote w:id="8">
    <w:p w14:paraId="104B9A2F" w14:textId="77777777" w:rsidR="00095DB2" w:rsidRPr="00D32D4B" w:rsidRDefault="00095DB2" w:rsidP="00592227">
      <w:pPr>
        <w:pStyle w:val="Lbjegyzetszveg"/>
        <w:rPr>
          <w:rFonts w:ascii="Times New Roman" w:hAnsi="Times New Roman" w:cs="Times New Roman"/>
        </w:rPr>
      </w:pPr>
      <w:r w:rsidRPr="00D32D4B">
        <w:rPr>
          <w:rStyle w:val="Lbjegyzet-hivatkozs"/>
          <w:rFonts w:ascii="Times New Roman" w:hAnsi="Times New Roman" w:cs="Times New Roman"/>
        </w:rPr>
        <w:footnoteRef/>
      </w:r>
      <w:r w:rsidRPr="00D32D4B">
        <w:rPr>
          <w:rFonts w:ascii="Times New Roman" w:hAnsi="Times New Roman" w:cs="Times New Roman"/>
        </w:rPr>
        <w:t xml:space="preserve"> A hazai nagy hőkiadású távhőkörzetek tömör bemutatása továbbá a módszertani lépések és az egyes mutatóképzési metódusok megtalálhatóak a jelen kutatás keretében elkészített módszertani tanulmányban. A módszertani pontosításokat, kiegészítéseket, bővítéseket itt közöljük.</w:t>
      </w:r>
    </w:p>
  </w:footnote>
  <w:footnote w:id="9">
    <w:p w14:paraId="271CA723" w14:textId="34601E03" w:rsidR="00095DB2" w:rsidRPr="00592227" w:rsidRDefault="00095DB2" w:rsidP="00592227">
      <w:pPr>
        <w:ind w:firstLine="0"/>
        <w:rPr>
          <w:sz w:val="20"/>
        </w:rPr>
      </w:pPr>
      <w:r w:rsidRPr="00D32D4B">
        <w:rPr>
          <w:rStyle w:val="Lbjegyzet-hivatkozs"/>
          <w:sz w:val="20"/>
        </w:rPr>
        <w:footnoteRef/>
      </w:r>
      <w:r w:rsidRPr="00D32D4B">
        <w:rPr>
          <w:sz w:val="20"/>
        </w:rPr>
        <w:t xml:space="preserve"> Köszönettel tartozunk a MATÁSzSz szakembereinek sokrétű segítségükért, különös tekintettel a kérdőíves felmérés felvételére, előzetes kiértékelésére és a szakmai tanácsokra!</w:t>
      </w:r>
    </w:p>
  </w:footnote>
  <w:footnote w:id="10">
    <w:p w14:paraId="4352C9D3" w14:textId="77777777" w:rsidR="00095DB2" w:rsidRPr="00943420" w:rsidRDefault="00095DB2">
      <w:pPr>
        <w:pStyle w:val="Lbjegyzetszveg"/>
        <w:rPr>
          <w:rFonts w:ascii="Times New Roman" w:hAnsi="Times New Roman" w:cs="Times New Roman"/>
        </w:rPr>
      </w:pPr>
      <w:r w:rsidRPr="00943420">
        <w:rPr>
          <w:rStyle w:val="Lbjegyzet-hivatkozs"/>
          <w:rFonts w:ascii="Times New Roman" w:hAnsi="Times New Roman" w:cs="Times New Roman"/>
        </w:rPr>
        <w:footnoteRef/>
      </w:r>
      <w:r w:rsidRPr="00943420">
        <w:rPr>
          <w:rFonts w:ascii="Times New Roman" w:hAnsi="Times New Roman" w:cs="Times New Roman"/>
        </w:rPr>
        <w:t xml:space="preserve"> A hazai nagyfeszültségű átviteli hálózat tömör bemutatása továbbá a módszertani lépések és az egyes mutatóképzési metódusok megtalálhatóak a jelen kutatás keretében elkészített módszertani tanulmányban. A módszertani pontosításokat, kiegészítéseket, bővítéseket itt közöljük.</w:t>
      </w:r>
    </w:p>
  </w:footnote>
  <w:footnote w:id="11">
    <w:p w14:paraId="3644BFA0" w14:textId="77777777" w:rsidR="00095DB2" w:rsidRPr="009C524F" w:rsidRDefault="00095DB2">
      <w:pPr>
        <w:pStyle w:val="Lbjegyzetszveg"/>
        <w:rPr>
          <w:rFonts w:ascii="Times New Roman" w:hAnsi="Times New Roman" w:cs="Times New Roman"/>
        </w:rPr>
      </w:pPr>
      <w:r w:rsidRPr="00943420">
        <w:rPr>
          <w:rStyle w:val="Lbjegyzet-hivatkozs"/>
          <w:rFonts w:ascii="Times New Roman" w:hAnsi="Times New Roman" w:cs="Times New Roman"/>
        </w:rPr>
        <w:footnoteRef/>
      </w:r>
      <w:r w:rsidRPr="00943420">
        <w:rPr>
          <w:rFonts w:ascii="Times New Roman" w:hAnsi="Times New Roman" w:cs="Times New Roman"/>
        </w:rPr>
        <w:t xml:space="preserve"> Köszönettel tartozunk a MAVIR szakembereinek sokrétű segítségükért, az átadott adatokért, szakmai értelmezésükért és a szaktanácsokért!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749"/>
    <w:multiLevelType w:val="hybridMultilevel"/>
    <w:tmpl w:val="B70255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D552AEE"/>
    <w:multiLevelType w:val="multilevel"/>
    <w:tmpl w:val="2C6812D6"/>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360" w:hanging="360"/>
      </w:pPr>
      <w:rPr>
        <w:sz w:val="28"/>
        <w:szCs w:val="28"/>
      </w:r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2" w15:restartNumberingAfterBreak="0">
    <w:nsid w:val="0E6B51BF"/>
    <w:multiLevelType w:val="multilevel"/>
    <w:tmpl w:val="82686E12"/>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360" w:hanging="360"/>
      </w:pPr>
      <w:rPr>
        <w:sz w:val="28"/>
        <w:szCs w:val="28"/>
      </w:r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3" w15:restartNumberingAfterBreak="0">
    <w:nsid w:val="15F74A55"/>
    <w:multiLevelType w:val="hybridMultilevel"/>
    <w:tmpl w:val="EEBE9612"/>
    <w:lvl w:ilvl="0" w:tplc="350EBFE2">
      <w:start w:val="1"/>
      <w:numFmt w:val="decimal"/>
      <w:lvlText w:val="%1)"/>
      <w:lvlJc w:val="left"/>
      <w:pPr>
        <w:ind w:left="426" w:hanging="360"/>
      </w:pPr>
      <w:rPr>
        <w:rFonts w:hint="default"/>
      </w:rPr>
    </w:lvl>
    <w:lvl w:ilvl="1" w:tplc="040E0019" w:tentative="1">
      <w:start w:val="1"/>
      <w:numFmt w:val="lowerLetter"/>
      <w:lvlText w:val="%2."/>
      <w:lvlJc w:val="left"/>
      <w:pPr>
        <w:ind w:left="1146" w:hanging="360"/>
      </w:pPr>
    </w:lvl>
    <w:lvl w:ilvl="2" w:tplc="040E001B" w:tentative="1">
      <w:start w:val="1"/>
      <w:numFmt w:val="lowerRoman"/>
      <w:lvlText w:val="%3."/>
      <w:lvlJc w:val="right"/>
      <w:pPr>
        <w:ind w:left="1866" w:hanging="180"/>
      </w:pPr>
    </w:lvl>
    <w:lvl w:ilvl="3" w:tplc="040E000F" w:tentative="1">
      <w:start w:val="1"/>
      <w:numFmt w:val="decimal"/>
      <w:lvlText w:val="%4."/>
      <w:lvlJc w:val="left"/>
      <w:pPr>
        <w:ind w:left="2586" w:hanging="360"/>
      </w:pPr>
    </w:lvl>
    <w:lvl w:ilvl="4" w:tplc="040E0019" w:tentative="1">
      <w:start w:val="1"/>
      <w:numFmt w:val="lowerLetter"/>
      <w:lvlText w:val="%5."/>
      <w:lvlJc w:val="left"/>
      <w:pPr>
        <w:ind w:left="3306" w:hanging="360"/>
      </w:pPr>
    </w:lvl>
    <w:lvl w:ilvl="5" w:tplc="040E001B" w:tentative="1">
      <w:start w:val="1"/>
      <w:numFmt w:val="lowerRoman"/>
      <w:lvlText w:val="%6."/>
      <w:lvlJc w:val="right"/>
      <w:pPr>
        <w:ind w:left="4026" w:hanging="180"/>
      </w:pPr>
    </w:lvl>
    <w:lvl w:ilvl="6" w:tplc="040E000F" w:tentative="1">
      <w:start w:val="1"/>
      <w:numFmt w:val="decimal"/>
      <w:lvlText w:val="%7."/>
      <w:lvlJc w:val="left"/>
      <w:pPr>
        <w:ind w:left="4746" w:hanging="360"/>
      </w:pPr>
    </w:lvl>
    <w:lvl w:ilvl="7" w:tplc="040E0019" w:tentative="1">
      <w:start w:val="1"/>
      <w:numFmt w:val="lowerLetter"/>
      <w:lvlText w:val="%8."/>
      <w:lvlJc w:val="left"/>
      <w:pPr>
        <w:ind w:left="5466" w:hanging="360"/>
      </w:pPr>
    </w:lvl>
    <w:lvl w:ilvl="8" w:tplc="040E001B" w:tentative="1">
      <w:start w:val="1"/>
      <w:numFmt w:val="lowerRoman"/>
      <w:lvlText w:val="%9."/>
      <w:lvlJc w:val="right"/>
      <w:pPr>
        <w:ind w:left="6186" w:hanging="180"/>
      </w:pPr>
    </w:lvl>
  </w:abstractNum>
  <w:abstractNum w:abstractNumId="4" w15:restartNumberingAfterBreak="0">
    <w:nsid w:val="164B7B04"/>
    <w:multiLevelType w:val="hybridMultilevel"/>
    <w:tmpl w:val="393ADA7E"/>
    <w:lvl w:ilvl="0" w:tplc="040E0011">
      <w:start w:val="1"/>
      <w:numFmt w:val="decimal"/>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5" w15:restartNumberingAfterBreak="0">
    <w:nsid w:val="28836C36"/>
    <w:multiLevelType w:val="hybridMultilevel"/>
    <w:tmpl w:val="F89873D6"/>
    <w:lvl w:ilvl="0" w:tplc="040E0001">
      <w:start w:val="1"/>
      <w:numFmt w:val="bullet"/>
      <w:lvlText w:val=""/>
      <w:lvlJc w:val="left"/>
      <w:pPr>
        <w:ind w:left="360" w:hanging="360"/>
      </w:pPr>
      <w:rPr>
        <w:rFonts w:ascii="Symbol" w:hAnsi="Symbol" w:hint="default"/>
        <w:b w:val="0"/>
        <w:bCs/>
        <w:color w:val="00000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11A6789"/>
    <w:multiLevelType w:val="multilevel"/>
    <w:tmpl w:val="6A84E7E6"/>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7" w15:restartNumberingAfterBreak="0">
    <w:nsid w:val="33516856"/>
    <w:multiLevelType w:val="hybridMultilevel"/>
    <w:tmpl w:val="03344136"/>
    <w:lvl w:ilvl="0" w:tplc="094E6106">
      <w:start w:val="1"/>
      <w:numFmt w:val="bullet"/>
      <w:lvlText w:val="-"/>
      <w:lvlJc w:val="left"/>
      <w:pPr>
        <w:tabs>
          <w:tab w:val="num" w:pos="720"/>
        </w:tabs>
        <w:ind w:left="720" w:hanging="360"/>
      </w:pPr>
      <w:rPr>
        <w:rFonts w:ascii="Times New Roman" w:hAnsi="Times New Roman" w:hint="default"/>
      </w:rPr>
    </w:lvl>
    <w:lvl w:ilvl="1" w:tplc="7A50F4CE" w:tentative="1">
      <w:start w:val="1"/>
      <w:numFmt w:val="bullet"/>
      <w:lvlText w:val="-"/>
      <w:lvlJc w:val="left"/>
      <w:pPr>
        <w:tabs>
          <w:tab w:val="num" w:pos="1440"/>
        </w:tabs>
        <w:ind w:left="1440" w:hanging="360"/>
      </w:pPr>
      <w:rPr>
        <w:rFonts w:ascii="Times New Roman" w:hAnsi="Times New Roman" w:hint="default"/>
      </w:rPr>
    </w:lvl>
    <w:lvl w:ilvl="2" w:tplc="37F4F8F6" w:tentative="1">
      <w:start w:val="1"/>
      <w:numFmt w:val="bullet"/>
      <w:lvlText w:val="-"/>
      <w:lvlJc w:val="left"/>
      <w:pPr>
        <w:tabs>
          <w:tab w:val="num" w:pos="2160"/>
        </w:tabs>
        <w:ind w:left="2160" w:hanging="360"/>
      </w:pPr>
      <w:rPr>
        <w:rFonts w:ascii="Times New Roman" w:hAnsi="Times New Roman" w:hint="default"/>
      </w:rPr>
    </w:lvl>
    <w:lvl w:ilvl="3" w:tplc="793E9E28" w:tentative="1">
      <w:start w:val="1"/>
      <w:numFmt w:val="bullet"/>
      <w:lvlText w:val="-"/>
      <w:lvlJc w:val="left"/>
      <w:pPr>
        <w:tabs>
          <w:tab w:val="num" w:pos="2880"/>
        </w:tabs>
        <w:ind w:left="2880" w:hanging="360"/>
      </w:pPr>
      <w:rPr>
        <w:rFonts w:ascii="Times New Roman" w:hAnsi="Times New Roman" w:hint="default"/>
      </w:rPr>
    </w:lvl>
    <w:lvl w:ilvl="4" w:tplc="EAA8F2F8" w:tentative="1">
      <w:start w:val="1"/>
      <w:numFmt w:val="bullet"/>
      <w:lvlText w:val="-"/>
      <w:lvlJc w:val="left"/>
      <w:pPr>
        <w:tabs>
          <w:tab w:val="num" w:pos="3600"/>
        </w:tabs>
        <w:ind w:left="3600" w:hanging="360"/>
      </w:pPr>
      <w:rPr>
        <w:rFonts w:ascii="Times New Roman" w:hAnsi="Times New Roman" w:hint="default"/>
      </w:rPr>
    </w:lvl>
    <w:lvl w:ilvl="5" w:tplc="A47E1644" w:tentative="1">
      <w:start w:val="1"/>
      <w:numFmt w:val="bullet"/>
      <w:lvlText w:val="-"/>
      <w:lvlJc w:val="left"/>
      <w:pPr>
        <w:tabs>
          <w:tab w:val="num" w:pos="4320"/>
        </w:tabs>
        <w:ind w:left="4320" w:hanging="360"/>
      </w:pPr>
      <w:rPr>
        <w:rFonts w:ascii="Times New Roman" w:hAnsi="Times New Roman" w:hint="default"/>
      </w:rPr>
    </w:lvl>
    <w:lvl w:ilvl="6" w:tplc="AB123BA6" w:tentative="1">
      <w:start w:val="1"/>
      <w:numFmt w:val="bullet"/>
      <w:lvlText w:val="-"/>
      <w:lvlJc w:val="left"/>
      <w:pPr>
        <w:tabs>
          <w:tab w:val="num" w:pos="5040"/>
        </w:tabs>
        <w:ind w:left="5040" w:hanging="360"/>
      </w:pPr>
      <w:rPr>
        <w:rFonts w:ascii="Times New Roman" w:hAnsi="Times New Roman" w:hint="default"/>
      </w:rPr>
    </w:lvl>
    <w:lvl w:ilvl="7" w:tplc="BC54860C" w:tentative="1">
      <w:start w:val="1"/>
      <w:numFmt w:val="bullet"/>
      <w:lvlText w:val="-"/>
      <w:lvlJc w:val="left"/>
      <w:pPr>
        <w:tabs>
          <w:tab w:val="num" w:pos="5760"/>
        </w:tabs>
        <w:ind w:left="5760" w:hanging="360"/>
      </w:pPr>
      <w:rPr>
        <w:rFonts w:ascii="Times New Roman" w:hAnsi="Times New Roman" w:hint="default"/>
      </w:rPr>
    </w:lvl>
    <w:lvl w:ilvl="8" w:tplc="FF669AA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45A0C12"/>
    <w:multiLevelType w:val="hybridMultilevel"/>
    <w:tmpl w:val="772A1BC8"/>
    <w:lvl w:ilvl="0" w:tplc="040E0001">
      <w:start w:val="1"/>
      <w:numFmt w:val="bullet"/>
      <w:lvlText w:val=""/>
      <w:lvlJc w:val="left"/>
      <w:pPr>
        <w:ind w:left="789" w:hanging="360"/>
      </w:pPr>
      <w:rPr>
        <w:rFonts w:ascii="Symbol" w:hAnsi="Symbol" w:hint="default"/>
      </w:rPr>
    </w:lvl>
    <w:lvl w:ilvl="1" w:tplc="040E0003" w:tentative="1">
      <w:start w:val="1"/>
      <w:numFmt w:val="bullet"/>
      <w:lvlText w:val="o"/>
      <w:lvlJc w:val="left"/>
      <w:pPr>
        <w:ind w:left="1509" w:hanging="360"/>
      </w:pPr>
      <w:rPr>
        <w:rFonts w:ascii="Courier New" w:hAnsi="Courier New" w:cs="Courier New" w:hint="default"/>
      </w:rPr>
    </w:lvl>
    <w:lvl w:ilvl="2" w:tplc="040E0005" w:tentative="1">
      <w:start w:val="1"/>
      <w:numFmt w:val="bullet"/>
      <w:lvlText w:val=""/>
      <w:lvlJc w:val="left"/>
      <w:pPr>
        <w:ind w:left="2229" w:hanging="360"/>
      </w:pPr>
      <w:rPr>
        <w:rFonts w:ascii="Wingdings" w:hAnsi="Wingdings" w:hint="default"/>
      </w:rPr>
    </w:lvl>
    <w:lvl w:ilvl="3" w:tplc="040E0001" w:tentative="1">
      <w:start w:val="1"/>
      <w:numFmt w:val="bullet"/>
      <w:lvlText w:val=""/>
      <w:lvlJc w:val="left"/>
      <w:pPr>
        <w:ind w:left="2949" w:hanging="360"/>
      </w:pPr>
      <w:rPr>
        <w:rFonts w:ascii="Symbol" w:hAnsi="Symbol" w:hint="default"/>
      </w:rPr>
    </w:lvl>
    <w:lvl w:ilvl="4" w:tplc="040E0003" w:tentative="1">
      <w:start w:val="1"/>
      <w:numFmt w:val="bullet"/>
      <w:lvlText w:val="o"/>
      <w:lvlJc w:val="left"/>
      <w:pPr>
        <w:ind w:left="3669" w:hanging="360"/>
      </w:pPr>
      <w:rPr>
        <w:rFonts w:ascii="Courier New" w:hAnsi="Courier New" w:cs="Courier New" w:hint="default"/>
      </w:rPr>
    </w:lvl>
    <w:lvl w:ilvl="5" w:tplc="040E0005" w:tentative="1">
      <w:start w:val="1"/>
      <w:numFmt w:val="bullet"/>
      <w:lvlText w:val=""/>
      <w:lvlJc w:val="left"/>
      <w:pPr>
        <w:ind w:left="4389" w:hanging="360"/>
      </w:pPr>
      <w:rPr>
        <w:rFonts w:ascii="Wingdings" w:hAnsi="Wingdings" w:hint="default"/>
      </w:rPr>
    </w:lvl>
    <w:lvl w:ilvl="6" w:tplc="040E0001" w:tentative="1">
      <w:start w:val="1"/>
      <w:numFmt w:val="bullet"/>
      <w:lvlText w:val=""/>
      <w:lvlJc w:val="left"/>
      <w:pPr>
        <w:ind w:left="5109" w:hanging="360"/>
      </w:pPr>
      <w:rPr>
        <w:rFonts w:ascii="Symbol" w:hAnsi="Symbol" w:hint="default"/>
      </w:rPr>
    </w:lvl>
    <w:lvl w:ilvl="7" w:tplc="040E0003" w:tentative="1">
      <w:start w:val="1"/>
      <w:numFmt w:val="bullet"/>
      <w:lvlText w:val="o"/>
      <w:lvlJc w:val="left"/>
      <w:pPr>
        <w:ind w:left="5829" w:hanging="360"/>
      </w:pPr>
      <w:rPr>
        <w:rFonts w:ascii="Courier New" w:hAnsi="Courier New" w:cs="Courier New" w:hint="default"/>
      </w:rPr>
    </w:lvl>
    <w:lvl w:ilvl="8" w:tplc="040E0005" w:tentative="1">
      <w:start w:val="1"/>
      <w:numFmt w:val="bullet"/>
      <w:lvlText w:val=""/>
      <w:lvlJc w:val="left"/>
      <w:pPr>
        <w:ind w:left="6549" w:hanging="360"/>
      </w:pPr>
      <w:rPr>
        <w:rFonts w:ascii="Wingdings" w:hAnsi="Wingdings" w:hint="default"/>
      </w:rPr>
    </w:lvl>
  </w:abstractNum>
  <w:abstractNum w:abstractNumId="9" w15:restartNumberingAfterBreak="0">
    <w:nsid w:val="37447711"/>
    <w:multiLevelType w:val="hybridMultilevel"/>
    <w:tmpl w:val="6F4083A6"/>
    <w:lvl w:ilvl="0" w:tplc="4C1C42EA">
      <w:start w:val="1"/>
      <w:numFmt w:val="decimal"/>
      <w:lvlText w:val="%1."/>
      <w:lvlJc w:val="left"/>
      <w:pPr>
        <w:ind w:left="1069" w:hanging="360"/>
      </w:pPr>
      <w:rPr>
        <w:rFonts w:hint="default"/>
        <w:b/>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0" w15:restartNumberingAfterBreak="0">
    <w:nsid w:val="38FD7D35"/>
    <w:multiLevelType w:val="hybridMultilevel"/>
    <w:tmpl w:val="BE125E58"/>
    <w:lvl w:ilvl="0" w:tplc="040E0001">
      <w:start w:val="1"/>
      <w:numFmt w:val="bullet"/>
      <w:lvlText w:val=""/>
      <w:lvlJc w:val="left"/>
      <w:pPr>
        <w:ind w:left="360" w:hanging="360"/>
      </w:pPr>
      <w:rPr>
        <w:rFonts w:ascii="Symbol" w:hAnsi="Symbol" w:hint="default"/>
        <w:b w:val="0"/>
        <w:bCs/>
        <w:color w:val="00000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E77249F"/>
    <w:multiLevelType w:val="hybridMultilevel"/>
    <w:tmpl w:val="A3384164"/>
    <w:lvl w:ilvl="0" w:tplc="040E0001">
      <w:start w:val="1"/>
      <w:numFmt w:val="bullet"/>
      <w:lvlText w:val=""/>
      <w:lvlJc w:val="left"/>
      <w:pPr>
        <w:ind w:left="360" w:hanging="360"/>
      </w:pPr>
      <w:rPr>
        <w:rFonts w:ascii="Symbol" w:hAnsi="Symbol" w:hint="default"/>
        <w:b w:val="0"/>
        <w:bCs/>
        <w:color w:val="00000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3D166F5"/>
    <w:multiLevelType w:val="hybridMultilevel"/>
    <w:tmpl w:val="3D623592"/>
    <w:lvl w:ilvl="0" w:tplc="040E0011">
      <w:start w:val="1"/>
      <w:numFmt w:val="decimal"/>
      <w:lvlText w:val="%1)"/>
      <w:lvlJc w:val="left"/>
      <w:pPr>
        <w:ind w:left="786" w:hanging="360"/>
      </w:p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3" w15:restartNumberingAfterBreak="0">
    <w:nsid w:val="44662FCC"/>
    <w:multiLevelType w:val="hybridMultilevel"/>
    <w:tmpl w:val="B64AB6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5F365834"/>
    <w:multiLevelType w:val="hybridMultilevel"/>
    <w:tmpl w:val="F55C616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60DA508A"/>
    <w:multiLevelType w:val="hybridMultilevel"/>
    <w:tmpl w:val="BD109D66"/>
    <w:lvl w:ilvl="0" w:tplc="CC56B49E">
      <w:start w:val="1"/>
      <w:numFmt w:val="decimal"/>
      <w:lvlText w:val="%1)"/>
      <w:lvlJc w:val="left"/>
      <w:pPr>
        <w:ind w:left="426" w:hanging="360"/>
      </w:pPr>
      <w:rPr>
        <w:rFonts w:hint="default"/>
      </w:rPr>
    </w:lvl>
    <w:lvl w:ilvl="1" w:tplc="040E0019" w:tentative="1">
      <w:start w:val="1"/>
      <w:numFmt w:val="lowerLetter"/>
      <w:lvlText w:val="%2."/>
      <w:lvlJc w:val="left"/>
      <w:pPr>
        <w:ind w:left="1146" w:hanging="360"/>
      </w:pPr>
    </w:lvl>
    <w:lvl w:ilvl="2" w:tplc="040E001B" w:tentative="1">
      <w:start w:val="1"/>
      <w:numFmt w:val="lowerRoman"/>
      <w:lvlText w:val="%3."/>
      <w:lvlJc w:val="right"/>
      <w:pPr>
        <w:ind w:left="1866" w:hanging="180"/>
      </w:pPr>
    </w:lvl>
    <w:lvl w:ilvl="3" w:tplc="040E000F" w:tentative="1">
      <w:start w:val="1"/>
      <w:numFmt w:val="decimal"/>
      <w:lvlText w:val="%4."/>
      <w:lvlJc w:val="left"/>
      <w:pPr>
        <w:ind w:left="2586" w:hanging="360"/>
      </w:pPr>
    </w:lvl>
    <w:lvl w:ilvl="4" w:tplc="040E0019" w:tentative="1">
      <w:start w:val="1"/>
      <w:numFmt w:val="lowerLetter"/>
      <w:lvlText w:val="%5."/>
      <w:lvlJc w:val="left"/>
      <w:pPr>
        <w:ind w:left="3306" w:hanging="360"/>
      </w:pPr>
    </w:lvl>
    <w:lvl w:ilvl="5" w:tplc="040E001B" w:tentative="1">
      <w:start w:val="1"/>
      <w:numFmt w:val="lowerRoman"/>
      <w:lvlText w:val="%6."/>
      <w:lvlJc w:val="right"/>
      <w:pPr>
        <w:ind w:left="4026" w:hanging="180"/>
      </w:pPr>
    </w:lvl>
    <w:lvl w:ilvl="6" w:tplc="040E000F" w:tentative="1">
      <w:start w:val="1"/>
      <w:numFmt w:val="decimal"/>
      <w:lvlText w:val="%7."/>
      <w:lvlJc w:val="left"/>
      <w:pPr>
        <w:ind w:left="4746" w:hanging="360"/>
      </w:pPr>
    </w:lvl>
    <w:lvl w:ilvl="7" w:tplc="040E0019" w:tentative="1">
      <w:start w:val="1"/>
      <w:numFmt w:val="lowerLetter"/>
      <w:lvlText w:val="%8."/>
      <w:lvlJc w:val="left"/>
      <w:pPr>
        <w:ind w:left="5466" w:hanging="360"/>
      </w:pPr>
    </w:lvl>
    <w:lvl w:ilvl="8" w:tplc="040E001B" w:tentative="1">
      <w:start w:val="1"/>
      <w:numFmt w:val="lowerRoman"/>
      <w:lvlText w:val="%9."/>
      <w:lvlJc w:val="right"/>
      <w:pPr>
        <w:ind w:left="6186" w:hanging="180"/>
      </w:pPr>
    </w:lvl>
  </w:abstractNum>
  <w:abstractNum w:abstractNumId="16" w15:restartNumberingAfterBreak="0">
    <w:nsid w:val="6241271D"/>
    <w:multiLevelType w:val="multilevel"/>
    <w:tmpl w:val="762E339A"/>
    <w:lvl w:ilvl="0">
      <w:start w:val="1"/>
      <w:numFmt w:val="decimal"/>
      <w:lvlText w:val="%1-"/>
      <w:lvlJc w:val="left"/>
      <w:pPr>
        <w:ind w:left="375" w:hanging="375"/>
      </w:pPr>
      <w:rPr>
        <w:rFonts w:hint="default"/>
        <w:b/>
        <w:i/>
        <w:color w:val="000000"/>
      </w:rPr>
    </w:lvl>
    <w:lvl w:ilvl="1">
      <w:start w:val="2"/>
      <w:numFmt w:val="decimal"/>
      <w:lvlText w:val="%1-%2."/>
      <w:lvlJc w:val="left"/>
      <w:pPr>
        <w:ind w:left="1095" w:hanging="375"/>
      </w:pPr>
      <w:rPr>
        <w:rFonts w:hint="default"/>
        <w:b/>
        <w:i/>
        <w:color w:val="000000"/>
      </w:rPr>
    </w:lvl>
    <w:lvl w:ilvl="2">
      <w:start w:val="1"/>
      <w:numFmt w:val="decimal"/>
      <w:lvlText w:val="%1-%2.%3."/>
      <w:lvlJc w:val="left"/>
      <w:pPr>
        <w:ind w:left="2160" w:hanging="720"/>
      </w:pPr>
      <w:rPr>
        <w:rFonts w:hint="default"/>
        <w:b/>
        <w:i/>
        <w:color w:val="000000"/>
      </w:rPr>
    </w:lvl>
    <w:lvl w:ilvl="3">
      <w:start w:val="1"/>
      <w:numFmt w:val="decimal"/>
      <w:lvlText w:val="%1-%2.%3.%4."/>
      <w:lvlJc w:val="left"/>
      <w:pPr>
        <w:ind w:left="2880" w:hanging="720"/>
      </w:pPr>
      <w:rPr>
        <w:rFonts w:hint="default"/>
        <w:b/>
        <w:i/>
        <w:color w:val="000000"/>
      </w:rPr>
    </w:lvl>
    <w:lvl w:ilvl="4">
      <w:start w:val="1"/>
      <w:numFmt w:val="decimal"/>
      <w:lvlText w:val="%1-%2.%3.%4.%5."/>
      <w:lvlJc w:val="left"/>
      <w:pPr>
        <w:ind w:left="3960" w:hanging="1080"/>
      </w:pPr>
      <w:rPr>
        <w:rFonts w:hint="default"/>
        <w:b/>
        <w:i/>
        <w:color w:val="000000"/>
      </w:rPr>
    </w:lvl>
    <w:lvl w:ilvl="5">
      <w:start w:val="1"/>
      <w:numFmt w:val="decimal"/>
      <w:lvlText w:val="%1-%2.%3.%4.%5.%6."/>
      <w:lvlJc w:val="left"/>
      <w:pPr>
        <w:ind w:left="4680" w:hanging="1080"/>
      </w:pPr>
      <w:rPr>
        <w:rFonts w:hint="default"/>
        <w:b/>
        <w:i/>
        <w:color w:val="000000"/>
      </w:rPr>
    </w:lvl>
    <w:lvl w:ilvl="6">
      <w:start w:val="1"/>
      <w:numFmt w:val="decimal"/>
      <w:lvlText w:val="%1-%2.%3.%4.%5.%6.%7."/>
      <w:lvlJc w:val="left"/>
      <w:pPr>
        <w:ind w:left="5760" w:hanging="1440"/>
      </w:pPr>
      <w:rPr>
        <w:rFonts w:hint="default"/>
        <w:b/>
        <w:i/>
        <w:color w:val="000000"/>
      </w:rPr>
    </w:lvl>
    <w:lvl w:ilvl="7">
      <w:start w:val="1"/>
      <w:numFmt w:val="decimal"/>
      <w:lvlText w:val="%1-%2.%3.%4.%5.%6.%7.%8."/>
      <w:lvlJc w:val="left"/>
      <w:pPr>
        <w:ind w:left="6480" w:hanging="1440"/>
      </w:pPr>
      <w:rPr>
        <w:rFonts w:hint="default"/>
        <w:b/>
        <w:i/>
        <w:color w:val="000000"/>
      </w:rPr>
    </w:lvl>
    <w:lvl w:ilvl="8">
      <w:start w:val="1"/>
      <w:numFmt w:val="decimal"/>
      <w:lvlText w:val="%1-%2.%3.%4.%5.%6.%7.%8.%9."/>
      <w:lvlJc w:val="left"/>
      <w:pPr>
        <w:ind w:left="7560" w:hanging="1800"/>
      </w:pPr>
      <w:rPr>
        <w:rFonts w:hint="default"/>
        <w:b/>
        <w:i/>
        <w:color w:val="000000"/>
      </w:rPr>
    </w:lvl>
  </w:abstractNum>
  <w:abstractNum w:abstractNumId="17" w15:restartNumberingAfterBreak="0">
    <w:nsid w:val="64380505"/>
    <w:multiLevelType w:val="hybridMultilevel"/>
    <w:tmpl w:val="6AEC76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66454B0"/>
    <w:multiLevelType w:val="hybridMultilevel"/>
    <w:tmpl w:val="EF1A5F70"/>
    <w:lvl w:ilvl="0" w:tplc="3FC6EA58">
      <w:start w:val="1"/>
      <w:numFmt w:val="decimal"/>
      <w:lvlText w:val="%1)"/>
      <w:lvlJc w:val="left"/>
      <w:pPr>
        <w:ind w:left="1417" w:hanging="708"/>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9" w15:restartNumberingAfterBreak="0">
    <w:nsid w:val="691B7353"/>
    <w:multiLevelType w:val="hybridMultilevel"/>
    <w:tmpl w:val="C8DE72AE"/>
    <w:lvl w:ilvl="0" w:tplc="040E0001">
      <w:start w:val="1"/>
      <w:numFmt w:val="bullet"/>
      <w:lvlText w:val=""/>
      <w:lvlJc w:val="left"/>
      <w:pPr>
        <w:ind w:left="360" w:hanging="360"/>
      </w:pPr>
      <w:rPr>
        <w:rFonts w:ascii="Symbol" w:hAnsi="Symbol" w:hint="default"/>
        <w:b w:val="0"/>
        <w:bCs/>
        <w:color w:val="00000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9F53714"/>
    <w:multiLevelType w:val="hybridMultilevel"/>
    <w:tmpl w:val="8024763E"/>
    <w:lvl w:ilvl="0" w:tplc="BD66A2D6">
      <w:start w:val="1"/>
      <w:numFmt w:val="decimal"/>
      <w:lvlText w:val="%1."/>
      <w:lvlJc w:val="left"/>
      <w:pPr>
        <w:ind w:left="1080" w:hanging="360"/>
      </w:pPr>
      <w:rPr>
        <w:rFonts w:hint="default"/>
        <w:b/>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1" w15:restartNumberingAfterBreak="0">
    <w:nsid w:val="6B7124F0"/>
    <w:multiLevelType w:val="hybridMultilevel"/>
    <w:tmpl w:val="C8BED7F8"/>
    <w:lvl w:ilvl="0" w:tplc="040E0001">
      <w:start w:val="1"/>
      <w:numFmt w:val="bullet"/>
      <w:lvlText w:val=""/>
      <w:lvlJc w:val="left"/>
      <w:pPr>
        <w:ind w:left="360" w:hanging="360"/>
      </w:pPr>
      <w:rPr>
        <w:rFonts w:ascii="Symbol" w:hAnsi="Symbol" w:hint="default"/>
        <w:b w:val="0"/>
        <w:bCs/>
        <w:color w:val="00000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D7C6FD7"/>
    <w:multiLevelType w:val="hybridMultilevel"/>
    <w:tmpl w:val="25AA6B16"/>
    <w:lvl w:ilvl="0" w:tplc="AE9AD192">
      <w:start w:val="2"/>
      <w:numFmt w:val="bullet"/>
      <w:lvlText w:val="-"/>
      <w:lvlJc w:val="left"/>
      <w:pPr>
        <w:ind w:left="360" w:hanging="360"/>
      </w:pPr>
      <w:rPr>
        <w:rFonts w:ascii="Times New Roman" w:eastAsiaTheme="minorHAnsi" w:hAnsi="Times New Roman" w:cs="Times New Roman" w:hint="default"/>
        <w:b w:val="0"/>
        <w:bCs/>
        <w:color w:val="00000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6DE7225"/>
    <w:multiLevelType w:val="hybridMultilevel"/>
    <w:tmpl w:val="98E87B70"/>
    <w:lvl w:ilvl="0" w:tplc="E2D8F29E">
      <w:start w:val="1"/>
      <w:numFmt w:val="bullet"/>
      <w:lvlText w:val="•"/>
      <w:lvlJc w:val="left"/>
      <w:pPr>
        <w:tabs>
          <w:tab w:val="num" w:pos="720"/>
        </w:tabs>
        <w:ind w:left="720" w:hanging="360"/>
      </w:pPr>
      <w:rPr>
        <w:rFonts w:ascii="Arial" w:hAnsi="Arial" w:hint="default"/>
      </w:rPr>
    </w:lvl>
    <w:lvl w:ilvl="1" w:tplc="51AA7A82" w:tentative="1">
      <w:start w:val="1"/>
      <w:numFmt w:val="bullet"/>
      <w:lvlText w:val="•"/>
      <w:lvlJc w:val="left"/>
      <w:pPr>
        <w:tabs>
          <w:tab w:val="num" w:pos="1440"/>
        </w:tabs>
        <w:ind w:left="1440" w:hanging="360"/>
      </w:pPr>
      <w:rPr>
        <w:rFonts w:ascii="Arial" w:hAnsi="Arial" w:hint="default"/>
      </w:rPr>
    </w:lvl>
    <w:lvl w:ilvl="2" w:tplc="6A688A58" w:tentative="1">
      <w:start w:val="1"/>
      <w:numFmt w:val="bullet"/>
      <w:lvlText w:val="•"/>
      <w:lvlJc w:val="left"/>
      <w:pPr>
        <w:tabs>
          <w:tab w:val="num" w:pos="2160"/>
        </w:tabs>
        <w:ind w:left="2160" w:hanging="360"/>
      </w:pPr>
      <w:rPr>
        <w:rFonts w:ascii="Arial" w:hAnsi="Arial" w:hint="default"/>
      </w:rPr>
    </w:lvl>
    <w:lvl w:ilvl="3" w:tplc="DC1CA092" w:tentative="1">
      <w:start w:val="1"/>
      <w:numFmt w:val="bullet"/>
      <w:lvlText w:val="•"/>
      <w:lvlJc w:val="left"/>
      <w:pPr>
        <w:tabs>
          <w:tab w:val="num" w:pos="2880"/>
        </w:tabs>
        <w:ind w:left="2880" w:hanging="360"/>
      </w:pPr>
      <w:rPr>
        <w:rFonts w:ascii="Arial" w:hAnsi="Arial" w:hint="default"/>
      </w:rPr>
    </w:lvl>
    <w:lvl w:ilvl="4" w:tplc="6FE63B6C" w:tentative="1">
      <w:start w:val="1"/>
      <w:numFmt w:val="bullet"/>
      <w:lvlText w:val="•"/>
      <w:lvlJc w:val="left"/>
      <w:pPr>
        <w:tabs>
          <w:tab w:val="num" w:pos="3600"/>
        </w:tabs>
        <w:ind w:left="3600" w:hanging="360"/>
      </w:pPr>
      <w:rPr>
        <w:rFonts w:ascii="Arial" w:hAnsi="Arial" w:hint="default"/>
      </w:rPr>
    </w:lvl>
    <w:lvl w:ilvl="5" w:tplc="1C0EAFF0" w:tentative="1">
      <w:start w:val="1"/>
      <w:numFmt w:val="bullet"/>
      <w:lvlText w:val="•"/>
      <w:lvlJc w:val="left"/>
      <w:pPr>
        <w:tabs>
          <w:tab w:val="num" w:pos="4320"/>
        </w:tabs>
        <w:ind w:left="4320" w:hanging="360"/>
      </w:pPr>
      <w:rPr>
        <w:rFonts w:ascii="Arial" w:hAnsi="Arial" w:hint="default"/>
      </w:rPr>
    </w:lvl>
    <w:lvl w:ilvl="6" w:tplc="365E09CC" w:tentative="1">
      <w:start w:val="1"/>
      <w:numFmt w:val="bullet"/>
      <w:lvlText w:val="•"/>
      <w:lvlJc w:val="left"/>
      <w:pPr>
        <w:tabs>
          <w:tab w:val="num" w:pos="5040"/>
        </w:tabs>
        <w:ind w:left="5040" w:hanging="360"/>
      </w:pPr>
      <w:rPr>
        <w:rFonts w:ascii="Arial" w:hAnsi="Arial" w:hint="default"/>
      </w:rPr>
    </w:lvl>
    <w:lvl w:ilvl="7" w:tplc="43AC9BF8" w:tentative="1">
      <w:start w:val="1"/>
      <w:numFmt w:val="bullet"/>
      <w:lvlText w:val="•"/>
      <w:lvlJc w:val="left"/>
      <w:pPr>
        <w:tabs>
          <w:tab w:val="num" w:pos="5760"/>
        </w:tabs>
        <w:ind w:left="5760" w:hanging="360"/>
      </w:pPr>
      <w:rPr>
        <w:rFonts w:ascii="Arial" w:hAnsi="Arial" w:hint="default"/>
      </w:rPr>
    </w:lvl>
    <w:lvl w:ilvl="8" w:tplc="148CB70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7C757C3"/>
    <w:multiLevelType w:val="hybridMultilevel"/>
    <w:tmpl w:val="336E5BEE"/>
    <w:lvl w:ilvl="0" w:tplc="040E0011">
      <w:start w:val="1"/>
      <w:numFmt w:val="decimal"/>
      <w:lvlText w:val="%1)"/>
      <w:lvlJc w:val="left"/>
      <w:pPr>
        <w:ind w:left="786" w:hanging="360"/>
      </w:p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25" w15:restartNumberingAfterBreak="0">
    <w:nsid w:val="794E06E5"/>
    <w:multiLevelType w:val="hybridMultilevel"/>
    <w:tmpl w:val="5EEE4EE4"/>
    <w:lvl w:ilvl="0" w:tplc="E9089BA0">
      <w:start w:val="1"/>
      <w:numFmt w:val="bullet"/>
      <w:lvlText w:val="-"/>
      <w:lvlJc w:val="left"/>
      <w:pPr>
        <w:tabs>
          <w:tab w:val="num" w:pos="720"/>
        </w:tabs>
        <w:ind w:left="720" w:hanging="360"/>
      </w:pPr>
      <w:rPr>
        <w:rFonts w:ascii="Times New Roman" w:hAnsi="Times New Roman" w:hint="default"/>
      </w:rPr>
    </w:lvl>
    <w:lvl w:ilvl="1" w:tplc="E840890C" w:tentative="1">
      <w:start w:val="1"/>
      <w:numFmt w:val="bullet"/>
      <w:lvlText w:val="-"/>
      <w:lvlJc w:val="left"/>
      <w:pPr>
        <w:tabs>
          <w:tab w:val="num" w:pos="1440"/>
        </w:tabs>
        <w:ind w:left="1440" w:hanging="360"/>
      </w:pPr>
      <w:rPr>
        <w:rFonts w:ascii="Times New Roman" w:hAnsi="Times New Roman" w:hint="default"/>
      </w:rPr>
    </w:lvl>
    <w:lvl w:ilvl="2" w:tplc="10BC71B8" w:tentative="1">
      <w:start w:val="1"/>
      <w:numFmt w:val="bullet"/>
      <w:lvlText w:val="-"/>
      <w:lvlJc w:val="left"/>
      <w:pPr>
        <w:tabs>
          <w:tab w:val="num" w:pos="2160"/>
        </w:tabs>
        <w:ind w:left="2160" w:hanging="360"/>
      </w:pPr>
      <w:rPr>
        <w:rFonts w:ascii="Times New Roman" w:hAnsi="Times New Roman" w:hint="default"/>
      </w:rPr>
    </w:lvl>
    <w:lvl w:ilvl="3" w:tplc="28AC92C2" w:tentative="1">
      <w:start w:val="1"/>
      <w:numFmt w:val="bullet"/>
      <w:lvlText w:val="-"/>
      <w:lvlJc w:val="left"/>
      <w:pPr>
        <w:tabs>
          <w:tab w:val="num" w:pos="2880"/>
        </w:tabs>
        <w:ind w:left="2880" w:hanging="360"/>
      </w:pPr>
      <w:rPr>
        <w:rFonts w:ascii="Times New Roman" w:hAnsi="Times New Roman" w:hint="default"/>
      </w:rPr>
    </w:lvl>
    <w:lvl w:ilvl="4" w:tplc="C414DAD4" w:tentative="1">
      <w:start w:val="1"/>
      <w:numFmt w:val="bullet"/>
      <w:lvlText w:val="-"/>
      <w:lvlJc w:val="left"/>
      <w:pPr>
        <w:tabs>
          <w:tab w:val="num" w:pos="3600"/>
        </w:tabs>
        <w:ind w:left="3600" w:hanging="360"/>
      </w:pPr>
      <w:rPr>
        <w:rFonts w:ascii="Times New Roman" w:hAnsi="Times New Roman" w:hint="default"/>
      </w:rPr>
    </w:lvl>
    <w:lvl w:ilvl="5" w:tplc="90E2A672" w:tentative="1">
      <w:start w:val="1"/>
      <w:numFmt w:val="bullet"/>
      <w:lvlText w:val="-"/>
      <w:lvlJc w:val="left"/>
      <w:pPr>
        <w:tabs>
          <w:tab w:val="num" w:pos="4320"/>
        </w:tabs>
        <w:ind w:left="4320" w:hanging="360"/>
      </w:pPr>
      <w:rPr>
        <w:rFonts w:ascii="Times New Roman" w:hAnsi="Times New Roman" w:hint="default"/>
      </w:rPr>
    </w:lvl>
    <w:lvl w:ilvl="6" w:tplc="05E68ECC" w:tentative="1">
      <w:start w:val="1"/>
      <w:numFmt w:val="bullet"/>
      <w:lvlText w:val="-"/>
      <w:lvlJc w:val="left"/>
      <w:pPr>
        <w:tabs>
          <w:tab w:val="num" w:pos="5040"/>
        </w:tabs>
        <w:ind w:left="5040" w:hanging="360"/>
      </w:pPr>
      <w:rPr>
        <w:rFonts w:ascii="Times New Roman" w:hAnsi="Times New Roman" w:hint="default"/>
      </w:rPr>
    </w:lvl>
    <w:lvl w:ilvl="7" w:tplc="A29EF0B6" w:tentative="1">
      <w:start w:val="1"/>
      <w:numFmt w:val="bullet"/>
      <w:lvlText w:val="-"/>
      <w:lvlJc w:val="left"/>
      <w:pPr>
        <w:tabs>
          <w:tab w:val="num" w:pos="5760"/>
        </w:tabs>
        <w:ind w:left="5760" w:hanging="360"/>
      </w:pPr>
      <w:rPr>
        <w:rFonts w:ascii="Times New Roman" w:hAnsi="Times New Roman" w:hint="default"/>
      </w:rPr>
    </w:lvl>
    <w:lvl w:ilvl="8" w:tplc="3AF6426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C464F85"/>
    <w:multiLevelType w:val="hybridMultilevel"/>
    <w:tmpl w:val="DE6098FE"/>
    <w:lvl w:ilvl="0" w:tplc="6CC2E62C">
      <w:start w:val="1"/>
      <w:numFmt w:val="decimal"/>
      <w:lvlText w:val="%1."/>
      <w:lvlJc w:val="left"/>
      <w:pPr>
        <w:ind w:left="720" w:hanging="360"/>
      </w:pPr>
      <w:rPr>
        <w:rFonts w:hint="default"/>
        <w:b/>
        <w:i/>
        <w:color w:val="0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7EEE44FE"/>
    <w:multiLevelType w:val="hybridMultilevel"/>
    <w:tmpl w:val="F9FCBB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520510527">
    <w:abstractNumId w:val="6"/>
  </w:num>
  <w:num w:numId="2" w16cid:durableId="1379931973">
    <w:abstractNumId w:val="22"/>
  </w:num>
  <w:num w:numId="3" w16cid:durableId="688024724">
    <w:abstractNumId w:val="1"/>
  </w:num>
  <w:num w:numId="4" w16cid:durableId="77333020">
    <w:abstractNumId w:val="2"/>
  </w:num>
  <w:num w:numId="5" w16cid:durableId="2098475447">
    <w:abstractNumId w:val="26"/>
  </w:num>
  <w:num w:numId="6" w16cid:durableId="1823815163">
    <w:abstractNumId w:val="16"/>
  </w:num>
  <w:num w:numId="7" w16cid:durableId="1360548344">
    <w:abstractNumId w:val="14"/>
  </w:num>
  <w:num w:numId="8" w16cid:durableId="723140201">
    <w:abstractNumId w:val="20"/>
  </w:num>
  <w:num w:numId="9" w16cid:durableId="1542666935">
    <w:abstractNumId w:val="9"/>
  </w:num>
  <w:num w:numId="10" w16cid:durableId="248393100">
    <w:abstractNumId w:val="25"/>
  </w:num>
  <w:num w:numId="11" w16cid:durableId="716201241">
    <w:abstractNumId w:val="23"/>
  </w:num>
  <w:num w:numId="12" w16cid:durableId="1555845544">
    <w:abstractNumId w:val="7"/>
  </w:num>
  <w:num w:numId="13" w16cid:durableId="381906632">
    <w:abstractNumId w:val="12"/>
  </w:num>
  <w:num w:numId="14" w16cid:durableId="1620917441">
    <w:abstractNumId w:val="15"/>
  </w:num>
  <w:num w:numId="15" w16cid:durableId="650452748">
    <w:abstractNumId w:val="11"/>
  </w:num>
  <w:num w:numId="16" w16cid:durableId="1951082512">
    <w:abstractNumId w:val="4"/>
  </w:num>
  <w:num w:numId="17" w16cid:durableId="1231772915">
    <w:abstractNumId w:val="18"/>
  </w:num>
  <w:num w:numId="18" w16cid:durableId="1985892996">
    <w:abstractNumId w:val="19"/>
  </w:num>
  <w:num w:numId="19" w16cid:durableId="1834485756">
    <w:abstractNumId w:val="24"/>
  </w:num>
  <w:num w:numId="20" w16cid:durableId="1156452182">
    <w:abstractNumId w:val="3"/>
  </w:num>
  <w:num w:numId="21" w16cid:durableId="1082986432">
    <w:abstractNumId w:val="21"/>
  </w:num>
  <w:num w:numId="22" w16cid:durableId="869956495">
    <w:abstractNumId w:val="10"/>
  </w:num>
  <w:num w:numId="23" w16cid:durableId="848301503">
    <w:abstractNumId w:val="27"/>
  </w:num>
  <w:num w:numId="24" w16cid:durableId="2009550685">
    <w:abstractNumId w:val="17"/>
  </w:num>
  <w:num w:numId="25" w16cid:durableId="378095326">
    <w:abstractNumId w:val="0"/>
  </w:num>
  <w:num w:numId="26" w16cid:durableId="829445420">
    <w:abstractNumId w:val="8"/>
  </w:num>
  <w:num w:numId="27" w16cid:durableId="806355617">
    <w:abstractNumId w:val="5"/>
  </w:num>
  <w:num w:numId="28" w16cid:durableId="4409959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159"/>
    <w:rsid w:val="0001713E"/>
    <w:rsid w:val="0002052C"/>
    <w:rsid w:val="00027FED"/>
    <w:rsid w:val="00035541"/>
    <w:rsid w:val="0004653A"/>
    <w:rsid w:val="000554C3"/>
    <w:rsid w:val="0006140A"/>
    <w:rsid w:val="00094A66"/>
    <w:rsid w:val="00095DB2"/>
    <w:rsid w:val="000A0CFA"/>
    <w:rsid w:val="000B1E75"/>
    <w:rsid w:val="000B2888"/>
    <w:rsid w:val="000C49EC"/>
    <w:rsid w:val="000D2C0A"/>
    <w:rsid w:val="00110F10"/>
    <w:rsid w:val="0011518A"/>
    <w:rsid w:val="00117417"/>
    <w:rsid w:val="001202F1"/>
    <w:rsid w:val="0012408A"/>
    <w:rsid w:val="00130428"/>
    <w:rsid w:val="0013157D"/>
    <w:rsid w:val="00137D84"/>
    <w:rsid w:val="00145DD8"/>
    <w:rsid w:val="00160AAA"/>
    <w:rsid w:val="001621FD"/>
    <w:rsid w:val="001754C9"/>
    <w:rsid w:val="0018763A"/>
    <w:rsid w:val="00190B89"/>
    <w:rsid w:val="0019435F"/>
    <w:rsid w:val="001A3E94"/>
    <w:rsid w:val="001C39AF"/>
    <w:rsid w:val="001D635F"/>
    <w:rsid w:val="001E0CE3"/>
    <w:rsid w:val="001E1AFB"/>
    <w:rsid w:val="001F6BB1"/>
    <w:rsid w:val="001F6F6C"/>
    <w:rsid w:val="0021259D"/>
    <w:rsid w:val="00231C40"/>
    <w:rsid w:val="002325B5"/>
    <w:rsid w:val="00232A46"/>
    <w:rsid w:val="00234181"/>
    <w:rsid w:val="00241F6D"/>
    <w:rsid w:val="00244167"/>
    <w:rsid w:val="00250ADB"/>
    <w:rsid w:val="00261D92"/>
    <w:rsid w:val="00267CFA"/>
    <w:rsid w:val="00282385"/>
    <w:rsid w:val="002C34EF"/>
    <w:rsid w:val="002D0165"/>
    <w:rsid w:val="002D1DD3"/>
    <w:rsid w:val="002D33D9"/>
    <w:rsid w:val="002F63AA"/>
    <w:rsid w:val="00330073"/>
    <w:rsid w:val="00333492"/>
    <w:rsid w:val="00340557"/>
    <w:rsid w:val="00355D35"/>
    <w:rsid w:val="003650AF"/>
    <w:rsid w:val="0037613F"/>
    <w:rsid w:val="00385848"/>
    <w:rsid w:val="0039283E"/>
    <w:rsid w:val="00392DC3"/>
    <w:rsid w:val="003B2C0E"/>
    <w:rsid w:val="003C305A"/>
    <w:rsid w:val="003C4206"/>
    <w:rsid w:val="003D6828"/>
    <w:rsid w:val="003E6675"/>
    <w:rsid w:val="003F4791"/>
    <w:rsid w:val="003F5F90"/>
    <w:rsid w:val="003F60A3"/>
    <w:rsid w:val="0040710A"/>
    <w:rsid w:val="00422864"/>
    <w:rsid w:val="0046337B"/>
    <w:rsid w:val="004644A5"/>
    <w:rsid w:val="0046754D"/>
    <w:rsid w:val="00484EBE"/>
    <w:rsid w:val="004939EC"/>
    <w:rsid w:val="00497159"/>
    <w:rsid w:val="004A2376"/>
    <w:rsid w:val="004B5518"/>
    <w:rsid w:val="004C2AE9"/>
    <w:rsid w:val="004C3C04"/>
    <w:rsid w:val="004C3DF1"/>
    <w:rsid w:val="004C4903"/>
    <w:rsid w:val="004D28E8"/>
    <w:rsid w:val="00502B30"/>
    <w:rsid w:val="00503FD4"/>
    <w:rsid w:val="00507AEB"/>
    <w:rsid w:val="00510A66"/>
    <w:rsid w:val="00511A56"/>
    <w:rsid w:val="00531129"/>
    <w:rsid w:val="005346EA"/>
    <w:rsid w:val="00545F39"/>
    <w:rsid w:val="005469DA"/>
    <w:rsid w:val="00554F8D"/>
    <w:rsid w:val="00557653"/>
    <w:rsid w:val="00576B18"/>
    <w:rsid w:val="0058519F"/>
    <w:rsid w:val="00592227"/>
    <w:rsid w:val="005C05AD"/>
    <w:rsid w:val="005C2925"/>
    <w:rsid w:val="005E16A7"/>
    <w:rsid w:val="006012C9"/>
    <w:rsid w:val="006207EA"/>
    <w:rsid w:val="00620B0D"/>
    <w:rsid w:val="00622136"/>
    <w:rsid w:val="006224F9"/>
    <w:rsid w:val="0064609D"/>
    <w:rsid w:val="00651D5E"/>
    <w:rsid w:val="00656AE5"/>
    <w:rsid w:val="00681363"/>
    <w:rsid w:val="00696E32"/>
    <w:rsid w:val="006974BE"/>
    <w:rsid w:val="006C2E2C"/>
    <w:rsid w:val="006C4150"/>
    <w:rsid w:val="006D083F"/>
    <w:rsid w:val="006D5975"/>
    <w:rsid w:val="006E54EA"/>
    <w:rsid w:val="007010A2"/>
    <w:rsid w:val="007565DF"/>
    <w:rsid w:val="0076215F"/>
    <w:rsid w:val="007B6555"/>
    <w:rsid w:val="007B6DA6"/>
    <w:rsid w:val="007C1BFC"/>
    <w:rsid w:val="007C6395"/>
    <w:rsid w:val="007E5F23"/>
    <w:rsid w:val="007F456E"/>
    <w:rsid w:val="008170AA"/>
    <w:rsid w:val="00821C3A"/>
    <w:rsid w:val="00823E21"/>
    <w:rsid w:val="00847B6C"/>
    <w:rsid w:val="008742B8"/>
    <w:rsid w:val="0087531A"/>
    <w:rsid w:val="00877B4B"/>
    <w:rsid w:val="00877B84"/>
    <w:rsid w:val="00886E84"/>
    <w:rsid w:val="008C2DA5"/>
    <w:rsid w:val="00900574"/>
    <w:rsid w:val="0093215F"/>
    <w:rsid w:val="00932D9E"/>
    <w:rsid w:val="00941A68"/>
    <w:rsid w:val="0094324D"/>
    <w:rsid w:val="00943420"/>
    <w:rsid w:val="00946A2D"/>
    <w:rsid w:val="0095434E"/>
    <w:rsid w:val="009549DE"/>
    <w:rsid w:val="00995CC5"/>
    <w:rsid w:val="009A1391"/>
    <w:rsid w:val="009B3E43"/>
    <w:rsid w:val="009C524F"/>
    <w:rsid w:val="009C7780"/>
    <w:rsid w:val="009D7108"/>
    <w:rsid w:val="009E6CB1"/>
    <w:rsid w:val="00A07353"/>
    <w:rsid w:val="00A21A0B"/>
    <w:rsid w:val="00A4046C"/>
    <w:rsid w:val="00AA0DD6"/>
    <w:rsid w:val="00AB4969"/>
    <w:rsid w:val="00AC3F3D"/>
    <w:rsid w:val="00AC5F96"/>
    <w:rsid w:val="00AC6C9E"/>
    <w:rsid w:val="00B026E6"/>
    <w:rsid w:val="00B24193"/>
    <w:rsid w:val="00B3171E"/>
    <w:rsid w:val="00B4450E"/>
    <w:rsid w:val="00B516F0"/>
    <w:rsid w:val="00B719AF"/>
    <w:rsid w:val="00B75F1D"/>
    <w:rsid w:val="00B76180"/>
    <w:rsid w:val="00BA57BC"/>
    <w:rsid w:val="00BA7331"/>
    <w:rsid w:val="00BC4E95"/>
    <w:rsid w:val="00BF16AA"/>
    <w:rsid w:val="00BF256E"/>
    <w:rsid w:val="00BF2DFA"/>
    <w:rsid w:val="00BF3BF7"/>
    <w:rsid w:val="00BF76F1"/>
    <w:rsid w:val="00C02486"/>
    <w:rsid w:val="00C27711"/>
    <w:rsid w:val="00C3452D"/>
    <w:rsid w:val="00C35257"/>
    <w:rsid w:val="00C46733"/>
    <w:rsid w:val="00C47D08"/>
    <w:rsid w:val="00C53AD7"/>
    <w:rsid w:val="00C60184"/>
    <w:rsid w:val="00C84789"/>
    <w:rsid w:val="00C90683"/>
    <w:rsid w:val="00CA2D8E"/>
    <w:rsid w:val="00CA4BF9"/>
    <w:rsid w:val="00CB184E"/>
    <w:rsid w:val="00CC2F31"/>
    <w:rsid w:val="00CC573A"/>
    <w:rsid w:val="00CD4595"/>
    <w:rsid w:val="00CD5F17"/>
    <w:rsid w:val="00CE09E8"/>
    <w:rsid w:val="00CE5308"/>
    <w:rsid w:val="00D15DBA"/>
    <w:rsid w:val="00D226AC"/>
    <w:rsid w:val="00D32D4B"/>
    <w:rsid w:val="00D60AF2"/>
    <w:rsid w:val="00D71FA0"/>
    <w:rsid w:val="00D80777"/>
    <w:rsid w:val="00D85A43"/>
    <w:rsid w:val="00D925AB"/>
    <w:rsid w:val="00D94FD8"/>
    <w:rsid w:val="00D97CBA"/>
    <w:rsid w:val="00DC08C4"/>
    <w:rsid w:val="00DE357F"/>
    <w:rsid w:val="00E02CC5"/>
    <w:rsid w:val="00E174F8"/>
    <w:rsid w:val="00E21754"/>
    <w:rsid w:val="00E3204F"/>
    <w:rsid w:val="00E47707"/>
    <w:rsid w:val="00EB300D"/>
    <w:rsid w:val="00EB3E37"/>
    <w:rsid w:val="00EE63C8"/>
    <w:rsid w:val="00F06E36"/>
    <w:rsid w:val="00F45AF0"/>
    <w:rsid w:val="00F472D9"/>
    <w:rsid w:val="00F7461A"/>
    <w:rsid w:val="00F92169"/>
    <w:rsid w:val="00F97EB4"/>
    <w:rsid w:val="00FC3581"/>
    <w:rsid w:val="00FC3DA2"/>
    <w:rsid w:val="00FC63FD"/>
    <w:rsid w:val="00FC7373"/>
    <w:rsid w:val="00FE2B0E"/>
    <w:rsid w:val="37B5FE3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59D32CB"/>
  <w15:chartTrackingRefBased/>
  <w15:docId w15:val="{1D1C90B9-04D4-4220-AD63-B3E3B3281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97159"/>
    <w:pPr>
      <w:widowControl w:val="0"/>
      <w:spacing w:after="0" w:line="240" w:lineRule="auto"/>
      <w:ind w:firstLine="709"/>
      <w:jc w:val="both"/>
    </w:pPr>
    <w:rPr>
      <w:rFonts w:ascii="Times New Roman" w:hAnsi="Times New Roman" w:cs="Times New Roman"/>
      <w:kern w:val="2"/>
      <w:sz w:val="24"/>
      <w:szCs w:val="20"/>
      <w14:ligatures w14:val="standardContextual"/>
    </w:rPr>
  </w:style>
  <w:style w:type="paragraph" w:styleId="Cmsor1">
    <w:name w:val="heading 1"/>
    <w:basedOn w:val="Norml"/>
    <w:next w:val="Norml"/>
    <w:link w:val="Cmsor1Char"/>
    <w:uiPriority w:val="9"/>
    <w:qFormat/>
    <w:rsid w:val="006D5975"/>
    <w:pPr>
      <w:keepNext/>
      <w:keepLines/>
      <w:pageBreakBefore/>
      <w:widowControl/>
      <w:spacing w:before="120" w:after="120"/>
      <w:ind w:left="431" w:hanging="431"/>
      <w:outlineLvl w:val="0"/>
    </w:pPr>
    <w:rPr>
      <w:rFonts w:eastAsiaTheme="majorEastAsia"/>
      <w:b/>
      <w:bCs/>
      <w:sz w:val="32"/>
      <w:szCs w:val="32"/>
    </w:rPr>
  </w:style>
  <w:style w:type="paragraph" w:styleId="Cmsor2">
    <w:name w:val="heading 2"/>
    <w:basedOn w:val="Norml"/>
    <w:next w:val="Norml"/>
    <w:link w:val="Cmsor2Char"/>
    <w:uiPriority w:val="9"/>
    <w:unhideWhenUsed/>
    <w:qFormat/>
    <w:rsid w:val="006D5975"/>
    <w:pPr>
      <w:keepNext/>
      <w:keepLines/>
      <w:widowControl/>
      <w:spacing w:before="40" w:after="120"/>
      <w:ind w:left="578" w:hanging="578"/>
      <w:outlineLvl w:val="1"/>
    </w:pPr>
    <w:rPr>
      <w:rFonts w:eastAsiaTheme="majorEastAsia"/>
      <w:b/>
      <w:bCs/>
      <w:color w:val="000000" w:themeColor="text1"/>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TJ1">
    <w:name w:val="toc 1"/>
    <w:basedOn w:val="Norml"/>
    <w:next w:val="Norml"/>
    <w:autoRedefine/>
    <w:uiPriority w:val="39"/>
    <w:unhideWhenUsed/>
    <w:rsid w:val="00592227"/>
    <w:pPr>
      <w:tabs>
        <w:tab w:val="right" w:leader="dot" w:pos="9062"/>
      </w:tabs>
      <w:spacing w:after="100"/>
      <w:ind w:left="284" w:hanging="284"/>
    </w:pPr>
  </w:style>
  <w:style w:type="paragraph" w:styleId="TJ2">
    <w:name w:val="toc 2"/>
    <w:basedOn w:val="Norml"/>
    <w:next w:val="Norml"/>
    <w:autoRedefine/>
    <w:uiPriority w:val="39"/>
    <w:unhideWhenUsed/>
    <w:rsid w:val="00592227"/>
    <w:pPr>
      <w:tabs>
        <w:tab w:val="right" w:leader="dot" w:pos="9062"/>
      </w:tabs>
      <w:spacing w:after="100"/>
      <w:ind w:left="1134" w:hanging="425"/>
    </w:pPr>
  </w:style>
  <w:style w:type="paragraph" w:styleId="TJ3">
    <w:name w:val="toc 3"/>
    <w:basedOn w:val="Norml"/>
    <w:next w:val="Norml"/>
    <w:autoRedefine/>
    <w:uiPriority w:val="39"/>
    <w:unhideWhenUsed/>
    <w:rsid w:val="007F456E"/>
    <w:pPr>
      <w:tabs>
        <w:tab w:val="left" w:pos="1760"/>
      </w:tabs>
      <w:spacing w:after="100"/>
      <w:ind w:left="480" w:firstLine="0"/>
    </w:pPr>
  </w:style>
  <w:style w:type="character" w:styleId="Hiperhivatkozs">
    <w:name w:val="Hyperlink"/>
    <w:basedOn w:val="Bekezdsalapbettpusa"/>
    <w:uiPriority w:val="99"/>
    <w:unhideWhenUsed/>
    <w:rsid w:val="00497159"/>
    <w:rPr>
      <w:color w:val="0563C1" w:themeColor="hyperlink"/>
      <w:u w:val="single"/>
    </w:rPr>
  </w:style>
  <w:style w:type="paragraph" w:styleId="Lbjegyzetszveg">
    <w:name w:val="footnote text"/>
    <w:basedOn w:val="Norml"/>
    <w:link w:val="LbjegyzetszvegChar"/>
    <w:uiPriority w:val="99"/>
    <w:unhideWhenUsed/>
    <w:rsid w:val="00D80777"/>
    <w:pPr>
      <w:widowControl/>
      <w:suppressAutoHyphens/>
      <w:ind w:firstLine="0"/>
      <w:jc w:val="left"/>
    </w:pPr>
    <w:rPr>
      <w:rFonts w:ascii="Calibri" w:eastAsia="Calibri" w:hAnsi="Calibri" w:cs="Calibri"/>
      <w:kern w:val="0"/>
      <w:sz w:val="20"/>
      <w:lang w:eastAsia="hu-HU"/>
      <w14:ligatures w14:val="none"/>
    </w:rPr>
  </w:style>
  <w:style w:type="character" w:customStyle="1" w:styleId="LbjegyzetszvegChar">
    <w:name w:val="Lábjegyzetszöveg Char"/>
    <w:basedOn w:val="Bekezdsalapbettpusa"/>
    <w:link w:val="Lbjegyzetszveg"/>
    <w:uiPriority w:val="99"/>
    <w:qFormat/>
    <w:rsid w:val="00D80777"/>
    <w:rPr>
      <w:rFonts w:ascii="Calibri" w:eastAsia="Calibri" w:hAnsi="Calibri" w:cs="Calibri"/>
      <w:sz w:val="20"/>
      <w:szCs w:val="20"/>
      <w:lang w:eastAsia="hu-HU"/>
    </w:rPr>
  </w:style>
  <w:style w:type="character" w:styleId="Lbjegyzet-hivatkozs">
    <w:name w:val="footnote reference"/>
    <w:basedOn w:val="Bekezdsalapbettpusa"/>
    <w:uiPriority w:val="99"/>
    <w:semiHidden/>
    <w:unhideWhenUsed/>
    <w:rsid w:val="00D80777"/>
    <w:rPr>
      <w:vertAlign w:val="superscript"/>
    </w:rPr>
  </w:style>
  <w:style w:type="character" w:styleId="Mrltotthiperhivatkozs">
    <w:name w:val="FollowedHyperlink"/>
    <w:basedOn w:val="Bekezdsalapbettpusa"/>
    <w:uiPriority w:val="99"/>
    <w:semiHidden/>
    <w:unhideWhenUsed/>
    <w:rsid w:val="00EB300D"/>
    <w:rPr>
      <w:color w:val="954F72" w:themeColor="followedHyperlink"/>
      <w:u w:val="single"/>
    </w:rPr>
  </w:style>
  <w:style w:type="paragraph" w:styleId="NormlWeb">
    <w:name w:val="Normal (Web)"/>
    <w:basedOn w:val="Norml"/>
    <w:uiPriority w:val="99"/>
    <w:semiHidden/>
    <w:unhideWhenUsed/>
    <w:qFormat/>
    <w:rsid w:val="006C2E2C"/>
    <w:pPr>
      <w:widowControl/>
      <w:suppressAutoHyphens/>
      <w:spacing w:beforeAutospacing="1" w:afterAutospacing="1"/>
      <w:ind w:firstLine="0"/>
      <w:jc w:val="left"/>
    </w:pPr>
    <w:rPr>
      <w:rFonts w:eastAsia="Times New Roman"/>
      <w:kern w:val="0"/>
      <w:szCs w:val="24"/>
      <w:lang w:eastAsia="hu-HU"/>
      <w14:ligatures w14:val="none"/>
    </w:rPr>
  </w:style>
  <w:style w:type="paragraph" w:styleId="Cm">
    <w:name w:val="Title"/>
    <w:basedOn w:val="Norml"/>
    <w:next w:val="Norml"/>
    <w:link w:val="CmChar"/>
    <w:uiPriority w:val="10"/>
    <w:qFormat/>
    <w:rsid w:val="0087531A"/>
    <w:pPr>
      <w:widowControl/>
      <w:spacing w:before="240" w:after="600"/>
      <w:ind w:firstLine="0"/>
      <w:contextualSpacing/>
      <w:jc w:val="left"/>
    </w:pPr>
    <w:rPr>
      <w:rFonts w:asciiTheme="majorHAnsi" w:eastAsiaTheme="majorEastAsia" w:hAnsiTheme="majorHAnsi" w:cstheme="majorBidi"/>
      <w:b/>
      <w:caps/>
      <w:color w:val="003068"/>
      <w:spacing w:val="10"/>
      <w:kern w:val="28"/>
      <w:sz w:val="48"/>
      <w:szCs w:val="56"/>
      <w:lang w:eastAsia="hu-HU"/>
      <w14:ligatures w14:val="none"/>
    </w:rPr>
  </w:style>
  <w:style w:type="character" w:customStyle="1" w:styleId="CmChar">
    <w:name w:val="Cím Char"/>
    <w:basedOn w:val="Bekezdsalapbettpusa"/>
    <w:link w:val="Cm"/>
    <w:uiPriority w:val="10"/>
    <w:rsid w:val="0087531A"/>
    <w:rPr>
      <w:rFonts w:asciiTheme="majorHAnsi" w:eastAsiaTheme="majorEastAsia" w:hAnsiTheme="majorHAnsi" w:cstheme="majorBidi"/>
      <w:b/>
      <w:caps/>
      <w:color w:val="003068"/>
      <w:spacing w:val="10"/>
      <w:kern w:val="28"/>
      <w:sz w:val="48"/>
      <w:szCs w:val="56"/>
      <w:lang w:eastAsia="hu-HU"/>
    </w:rPr>
  </w:style>
  <w:style w:type="table" w:customStyle="1" w:styleId="16">
    <w:name w:val="16"/>
    <w:basedOn w:val="Normltblzat"/>
    <w:rsid w:val="0087531A"/>
    <w:pPr>
      <w:spacing w:after="0" w:line="240" w:lineRule="auto"/>
    </w:pPr>
    <w:rPr>
      <w:rFonts w:ascii="Calibri" w:eastAsia="Calibri" w:hAnsi="Calibri" w:cs="Calibri"/>
      <w:color w:val="000000"/>
      <w:lang w:eastAsia="hu-HU"/>
    </w:rPr>
    <w:tblPr>
      <w:tblStyleRowBandSize w:val="1"/>
      <w:tblStyleColBandSize w:val="1"/>
      <w:tblInd w:w="0" w:type="nil"/>
    </w:tblPr>
  </w:style>
  <w:style w:type="character" w:styleId="Jegyzethivatkozs">
    <w:name w:val="annotation reference"/>
    <w:basedOn w:val="Bekezdsalapbettpusa"/>
    <w:uiPriority w:val="99"/>
    <w:semiHidden/>
    <w:unhideWhenUsed/>
    <w:rsid w:val="0087531A"/>
    <w:rPr>
      <w:sz w:val="16"/>
      <w:szCs w:val="16"/>
    </w:rPr>
  </w:style>
  <w:style w:type="paragraph" w:styleId="Jegyzetszveg">
    <w:name w:val="annotation text"/>
    <w:basedOn w:val="Norml"/>
    <w:link w:val="JegyzetszvegChar"/>
    <w:uiPriority w:val="99"/>
    <w:unhideWhenUsed/>
    <w:rsid w:val="0087531A"/>
    <w:rPr>
      <w:sz w:val="20"/>
    </w:rPr>
  </w:style>
  <w:style w:type="character" w:customStyle="1" w:styleId="JegyzetszvegChar">
    <w:name w:val="Jegyzetszöveg Char"/>
    <w:basedOn w:val="Bekezdsalapbettpusa"/>
    <w:link w:val="Jegyzetszveg"/>
    <w:uiPriority w:val="99"/>
    <w:rsid w:val="0087531A"/>
    <w:rPr>
      <w:rFonts w:ascii="Times New Roman" w:hAnsi="Times New Roman" w:cs="Times New Roman"/>
      <w:kern w:val="2"/>
      <w:sz w:val="20"/>
      <w:szCs w:val="20"/>
      <w14:ligatures w14:val="standardContextual"/>
    </w:rPr>
  </w:style>
  <w:style w:type="paragraph" w:styleId="Buborkszveg">
    <w:name w:val="Balloon Text"/>
    <w:basedOn w:val="Norml"/>
    <w:link w:val="BuborkszvegChar"/>
    <w:uiPriority w:val="99"/>
    <w:semiHidden/>
    <w:unhideWhenUsed/>
    <w:rsid w:val="0087531A"/>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87531A"/>
    <w:rPr>
      <w:rFonts w:ascii="Segoe UI" w:hAnsi="Segoe UI" w:cs="Segoe UI"/>
      <w:kern w:val="2"/>
      <w:sz w:val="18"/>
      <w:szCs w:val="18"/>
      <w14:ligatures w14:val="standardContextual"/>
    </w:rPr>
  </w:style>
  <w:style w:type="paragraph" w:styleId="Kpalrs">
    <w:name w:val="caption"/>
    <w:basedOn w:val="Norml"/>
    <w:next w:val="Norml"/>
    <w:uiPriority w:val="35"/>
    <w:unhideWhenUsed/>
    <w:qFormat/>
    <w:rsid w:val="00620B0D"/>
    <w:pPr>
      <w:spacing w:before="120" w:after="120"/>
      <w:ind w:firstLine="0"/>
      <w:jc w:val="center"/>
    </w:pPr>
    <w:rPr>
      <w:bCs/>
      <w:i/>
      <w:spacing w:val="6"/>
      <w:sz w:val="22"/>
    </w:rPr>
  </w:style>
  <w:style w:type="paragraph" w:styleId="Listaszerbekezds">
    <w:name w:val="List Paragraph"/>
    <w:basedOn w:val="Norml"/>
    <w:uiPriority w:val="34"/>
    <w:qFormat/>
    <w:rsid w:val="00A07353"/>
    <w:pPr>
      <w:ind w:left="720"/>
      <w:contextualSpacing/>
    </w:pPr>
  </w:style>
  <w:style w:type="table" w:styleId="Rcsostblzat">
    <w:name w:val="Table Grid"/>
    <w:basedOn w:val="Normltblzat"/>
    <w:uiPriority w:val="59"/>
    <w:rsid w:val="00A07353"/>
    <w:pPr>
      <w:spacing w:after="0" w:line="240" w:lineRule="auto"/>
    </w:pPr>
    <w:rPr>
      <w:rFonts w:ascii="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02052C"/>
    <w:pPr>
      <w:tabs>
        <w:tab w:val="center" w:pos="4536"/>
        <w:tab w:val="right" w:pos="9072"/>
      </w:tabs>
    </w:pPr>
  </w:style>
  <w:style w:type="character" w:customStyle="1" w:styleId="lfejChar">
    <w:name w:val="Élőfej Char"/>
    <w:basedOn w:val="Bekezdsalapbettpusa"/>
    <w:link w:val="lfej"/>
    <w:uiPriority w:val="99"/>
    <w:rsid w:val="0002052C"/>
    <w:rPr>
      <w:rFonts w:ascii="Times New Roman" w:hAnsi="Times New Roman" w:cs="Times New Roman"/>
      <w:kern w:val="2"/>
      <w:sz w:val="24"/>
      <w:szCs w:val="20"/>
      <w14:ligatures w14:val="standardContextual"/>
    </w:rPr>
  </w:style>
  <w:style w:type="paragraph" w:styleId="llb">
    <w:name w:val="footer"/>
    <w:basedOn w:val="Norml"/>
    <w:link w:val="llbChar"/>
    <w:uiPriority w:val="99"/>
    <w:unhideWhenUsed/>
    <w:rsid w:val="0002052C"/>
    <w:pPr>
      <w:tabs>
        <w:tab w:val="center" w:pos="4536"/>
        <w:tab w:val="right" w:pos="9072"/>
      </w:tabs>
    </w:pPr>
  </w:style>
  <w:style w:type="character" w:customStyle="1" w:styleId="llbChar">
    <w:name w:val="Élőláb Char"/>
    <w:basedOn w:val="Bekezdsalapbettpusa"/>
    <w:link w:val="llb"/>
    <w:uiPriority w:val="99"/>
    <w:rsid w:val="0002052C"/>
    <w:rPr>
      <w:rFonts w:ascii="Times New Roman" w:hAnsi="Times New Roman" w:cs="Times New Roman"/>
      <w:kern w:val="2"/>
      <w:sz w:val="24"/>
      <w:szCs w:val="20"/>
      <w14:ligatures w14:val="standardContextual"/>
    </w:rPr>
  </w:style>
  <w:style w:type="table" w:customStyle="1" w:styleId="3">
    <w:name w:val="3"/>
    <w:basedOn w:val="Normltblzat"/>
    <w:rsid w:val="0002052C"/>
    <w:pPr>
      <w:spacing w:after="200" w:line="276" w:lineRule="auto"/>
    </w:pPr>
    <w:rPr>
      <w:rFonts w:ascii="Calibri" w:eastAsia="Calibri" w:hAnsi="Calibri" w:cs="Calibri"/>
      <w:lang w:eastAsia="hu-HU"/>
    </w:rPr>
    <w:tblPr>
      <w:tblStyleRowBandSize w:val="1"/>
      <w:tblStyleColBandSize w:val="1"/>
      <w:tblInd w:w="0" w:type="nil"/>
      <w:tblCellMar>
        <w:left w:w="70" w:type="dxa"/>
        <w:right w:w="70" w:type="dxa"/>
      </w:tblCellMar>
    </w:tblPr>
  </w:style>
  <w:style w:type="character" w:customStyle="1" w:styleId="Cmsor1Char">
    <w:name w:val="Címsor 1 Char"/>
    <w:basedOn w:val="Bekezdsalapbettpusa"/>
    <w:link w:val="Cmsor1"/>
    <w:uiPriority w:val="9"/>
    <w:rsid w:val="006D5975"/>
    <w:rPr>
      <w:rFonts w:ascii="Times New Roman" w:eastAsiaTheme="majorEastAsia" w:hAnsi="Times New Roman" w:cs="Times New Roman"/>
      <w:b/>
      <w:bCs/>
      <w:kern w:val="2"/>
      <w:sz w:val="32"/>
      <w:szCs w:val="32"/>
      <w14:ligatures w14:val="standardContextual"/>
    </w:rPr>
  </w:style>
  <w:style w:type="character" w:customStyle="1" w:styleId="Cmsor2Char">
    <w:name w:val="Címsor 2 Char"/>
    <w:basedOn w:val="Bekezdsalapbettpusa"/>
    <w:link w:val="Cmsor2"/>
    <w:uiPriority w:val="9"/>
    <w:rsid w:val="006D5975"/>
    <w:rPr>
      <w:rFonts w:ascii="Times New Roman" w:eastAsiaTheme="majorEastAsia" w:hAnsi="Times New Roman" w:cs="Times New Roman"/>
      <w:b/>
      <w:bCs/>
      <w:color w:val="000000" w:themeColor="text1"/>
      <w:kern w:val="2"/>
      <w:sz w:val="26"/>
      <w:szCs w:val="26"/>
      <w14:ligatures w14:val="standardContextual"/>
    </w:rPr>
  </w:style>
  <w:style w:type="paragraph" w:styleId="Nincstrkz">
    <w:name w:val="No Spacing"/>
    <w:uiPriority w:val="1"/>
    <w:qFormat/>
    <w:rsid w:val="00D60AF2"/>
    <w:pPr>
      <w:widowControl w:val="0"/>
      <w:spacing w:after="0" w:line="240" w:lineRule="auto"/>
      <w:ind w:firstLine="709"/>
      <w:jc w:val="both"/>
    </w:pPr>
    <w:rPr>
      <w:rFonts w:ascii="Times New Roman" w:hAnsi="Times New Roman" w:cs="Times New Roman"/>
      <w:kern w:val="2"/>
      <w:sz w:val="24"/>
      <w:szCs w:val="20"/>
      <w14:ligatures w14:val="standardContextual"/>
    </w:rPr>
  </w:style>
  <w:style w:type="paragraph" w:styleId="Tartalomjegyzkcmsora">
    <w:name w:val="TOC Heading"/>
    <w:basedOn w:val="Cmsor1"/>
    <w:next w:val="Norml"/>
    <w:uiPriority w:val="39"/>
    <w:unhideWhenUsed/>
    <w:qFormat/>
    <w:rsid w:val="0019435F"/>
    <w:pPr>
      <w:spacing w:line="259" w:lineRule="auto"/>
      <w:ind w:firstLine="0"/>
      <w:jc w:val="left"/>
      <w:outlineLvl w:val="9"/>
    </w:pPr>
    <w:rPr>
      <w:kern w:val="0"/>
      <w:lang w:eastAsia="hu-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1894">
      <w:bodyDiv w:val="1"/>
      <w:marLeft w:val="0"/>
      <w:marRight w:val="0"/>
      <w:marTop w:val="0"/>
      <w:marBottom w:val="0"/>
      <w:divBdr>
        <w:top w:val="none" w:sz="0" w:space="0" w:color="auto"/>
        <w:left w:val="none" w:sz="0" w:space="0" w:color="auto"/>
        <w:bottom w:val="none" w:sz="0" w:space="0" w:color="auto"/>
        <w:right w:val="none" w:sz="0" w:space="0" w:color="auto"/>
      </w:divBdr>
    </w:div>
    <w:div w:id="366181243">
      <w:bodyDiv w:val="1"/>
      <w:marLeft w:val="0"/>
      <w:marRight w:val="0"/>
      <w:marTop w:val="0"/>
      <w:marBottom w:val="0"/>
      <w:divBdr>
        <w:top w:val="none" w:sz="0" w:space="0" w:color="auto"/>
        <w:left w:val="none" w:sz="0" w:space="0" w:color="auto"/>
        <w:bottom w:val="none" w:sz="0" w:space="0" w:color="auto"/>
        <w:right w:val="none" w:sz="0" w:space="0" w:color="auto"/>
      </w:divBdr>
      <w:divsChild>
        <w:div w:id="153764787">
          <w:marLeft w:val="547"/>
          <w:marRight w:val="0"/>
          <w:marTop w:val="130"/>
          <w:marBottom w:val="0"/>
          <w:divBdr>
            <w:top w:val="none" w:sz="0" w:space="0" w:color="auto"/>
            <w:left w:val="none" w:sz="0" w:space="0" w:color="auto"/>
            <w:bottom w:val="none" w:sz="0" w:space="0" w:color="auto"/>
            <w:right w:val="none" w:sz="0" w:space="0" w:color="auto"/>
          </w:divBdr>
        </w:div>
        <w:div w:id="1942833528">
          <w:marLeft w:val="547"/>
          <w:marRight w:val="0"/>
          <w:marTop w:val="130"/>
          <w:marBottom w:val="0"/>
          <w:divBdr>
            <w:top w:val="none" w:sz="0" w:space="0" w:color="auto"/>
            <w:left w:val="none" w:sz="0" w:space="0" w:color="auto"/>
            <w:bottom w:val="none" w:sz="0" w:space="0" w:color="auto"/>
            <w:right w:val="none" w:sz="0" w:space="0" w:color="auto"/>
          </w:divBdr>
        </w:div>
        <w:div w:id="91247623">
          <w:marLeft w:val="547"/>
          <w:marRight w:val="0"/>
          <w:marTop w:val="130"/>
          <w:marBottom w:val="0"/>
          <w:divBdr>
            <w:top w:val="none" w:sz="0" w:space="0" w:color="auto"/>
            <w:left w:val="none" w:sz="0" w:space="0" w:color="auto"/>
            <w:bottom w:val="none" w:sz="0" w:space="0" w:color="auto"/>
            <w:right w:val="none" w:sz="0" w:space="0" w:color="auto"/>
          </w:divBdr>
        </w:div>
        <w:div w:id="1061362867">
          <w:marLeft w:val="547"/>
          <w:marRight w:val="0"/>
          <w:marTop w:val="130"/>
          <w:marBottom w:val="0"/>
          <w:divBdr>
            <w:top w:val="none" w:sz="0" w:space="0" w:color="auto"/>
            <w:left w:val="none" w:sz="0" w:space="0" w:color="auto"/>
            <w:bottom w:val="none" w:sz="0" w:space="0" w:color="auto"/>
            <w:right w:val="none" w:sz="0" w:space="0" w:color="auto"/>
          </w:divBdr>
        </w:div>
      </w:divsChild>
    </w:div>
    <w:div w:id="394744492">
      <w:bodyDiv w:val="1"/>
      <w:marLeft w:val="0"/>
      <w:marRight w:val="0"/>
      <w:marTop w:val="0"/>
      <w:marBottom w:val="0"/>
      <w:divBdr>
        <w:top w:val="none" w:sz="0" w:space="0" w:color="auto"/>
        <w:left w:val="none" w:sz="0" w:space="0" w:color="auto"/>
        <w:bottom w:val="none" w:sz="0" w:space="0" w:color="auto"/>
        <w:right w:val="none" w:sz="0" w:space="0" w:color="auto"/>
      </w:divBdr>
      <w:divsChild>
        <w:div w:id="1325163146">
          <w:marLeft w:val="446"/>
          <w:marRight w:val="0"/>
          <w:marTop w:val="0"/>
          <w:marBottom w:val="0"/>
          <w:divBdr>
            <w:top w:val="none" w:sz="0" w:space="0" w:color="auto"/>
            <w:left w:val="none" w:sz="0" w:space="0" w:color="auto"/>
            <w:bottom w:val="none" w:sz="0" w:space="0" w:color="auto"/>
            <w:right w:val="none" w:sz="0" w:space="0" w:color="auto"/>
          </w:divBdr>
        </w:div>
        <w:div w:id="1780488944">
          <w:marLeft w:val="446"/>
          <w:marRight w:val="0"/>
          <w:marTop w:val="0"/>
          <w:marBottom w:val="0"/>
          <w:divBdr>
            <w:top w:val="none" w:sz="0" w:space="0" w:color="auto"/>
            <w:left w:val="none" w:sz="0" w:space="0" w:color="auto"/>
            <w:bottom w:val="none" w:sz="0" w:space="0" w:color="auto"/>
            <w:right w:val="none" w:sz="0" w:space="0" w:color="auto"/>
          </w:divBdr>
        </w:div>
        <w:div w:id="400450165">
          <w:marLeft w:val="446"/>
          <w:marRight w:val="0"/>
          <w:marTop w:val="0"/>
          <w:marBottom w:val="0"/>
          <w:divBdr>
            <w:top w:val="none" w:sz="0" w:space="0" w:color="auto"/>
            <w:left w:val="none" w:sz="0" w:space="0" w:color="auto"/>
            <w:bottom w:val="none" w:sz="0" w:space="0" w:color="auto"/>
            <w:right w:val="none" w:sz="0" w:space="0" w:color="auto"/>
          </w:divBdr>
        </w:div>
        <w:div w:id="1938631848">
          <w:marLeft w:val="446"/>
          <w:marRight w:val="0"/>
          <w:marTop w:val="0"/>
          <w:marBottom w:val="0"/>
          <w:divBdr>
            <w:top w:val="none" w:sz="0" w:space="0" w:color="auto"/>
            <w:left w:val="none" w:sz="0" w:space="0" w:color="auto"/>
            <w:bottom w:val="none" w:sz="0" w:space="0" w:color="auto"/>
            <w:right w:val="none" w:sz="0" w:space="0" w:color="auto"/>
          </w:divBdr>
        </w:div>
        <w:div w:id="1649279757">
          <w:marLeft w:val="446"/>
          <w:marRight w:val="0"/>
          <w:marTop w:val="0"/>
          <w:marBottom w:val="0"/>
          <w:divBdr>
            <w:top w:val="none" w:sz="0" w:space="0" w:color="auto"/>
            <w:left w:val="none" w:sz="0" w:space="0" w:color="auto"/>
            <w:bottom w:val="none" w:sz="0" w:space="0" w:color="auto"/>
            <w:right w:val="none" w:sz="0" w:space="0" w:color="auto"/>
          </w:divBdr>
        </w:div>
      </w:divsChild>
    </w:div>
    <w:div w:id="667056240">
      <w:bodyDiv w:val="1"/>
      <w:marLeft w:val="0"/>
      <w:marRight w:val="0"/>
      <w:marTop w:val="0"/>
      <w:marBottom w:val="0"/>
      <w:divBdr>
        <w:top w:val="none" w:sz="0" w:space="0" w:color="auto"/>
        <w:left w:val="none" w:sz="0" w:space="0" w:color="auto"/>
        <w:bottom w:val="none" w:sz="0" w:space="0" w:color="auto"/>
        <w:right w:val="none" w:sz="0" w:space="0" w:color="auto"/>
      </w:divBdr>
    </w:div>
    <w:div w:id="876434318">
      <w:bodyDiv w:val="1"/>
      <w:marLeft w:val="0"/>
      <w:marRight w:val="0"/>
      <w:marTop w:val="0"/>
      <w:marBottom w:val="0"/>
      <w:divBdr>
        <w:top w:val="none" w:sz="0" w:space="0" w:color="auto"/>
        <w:left w:val="none" w:sz="0" w:space="0" w:color="auto"/>
        <w:bottom w:val="none" w:sz="0" w:space="0" w:color="auto"/>
        <w:right w:val="none" w:sz="0" w:space="0" w:color="auto"/>
      </w:divBdr>
    </w:div>
    <w:div w:id="1187213109">
      <w:bodyDiv w:val="1"/>
      <w:marLeft w:val="0"/>
      <w:marRight w:val="0"/>
      <w:marTop w:val="0"/>
      <w:marBottom w:val="0"/>
      <w:divBdr>
        <w:top w:val="none" w:sz="0" w:space="0" w:color="auto"/>
        <w:left w:val="none" w:sz="0" w:space="0" w:color="auto"/>
        <w:bottom w:val="none" w:sz="0" w:space="0" w:color="auto"/>
        <w:right w:val="none" w:sz="0" w:space="0" w:color="auto"/>
      </w:divBdr>
    </w:div>
    <w:div w:id="1204827097">
      <w:bodyDiv w:val="1"/>
      <w:marLeft w:val="0"/>
      <w:marRight w:val="0"/>
      <w:marTop w:val="0"/>
      <w:marBottom w:val="0"/>
      <w:divBdr>
        <w:top w:val="none" w:sz="0" w:space="0" w:color="auto"/>
        <w:left w:val="none" w:sz="0" w:space="0" w:color="auto"/>
        <w:bottom w:val="none" w:sz="0" w:space="0" w:color="auto"/>
        <w:right w:val="none" w:sz="0" w:space="0" w:color="auto"/>
      </w:divBdr>
    </w:div>
    <w:div w:id="1207763661">
      <w:bodyDiv w:val="1"/>
      <w:marLeft w:val="0"/>
      <w:marRight w:val="0"/>
      <w:marTop w:val="0"/>
      <w:marBottom w:val="0"/>
      <w:divBdr>
        <w:top w:val="none" w:sz="0" w:space="0" w:color="auto"/>
        <w:left w:val="none" w:sz="0" w:space="0" w:color="auto"/>
        <w:bottom w:val="none" w:sz="0" w:space="0" w:color="auto"/>
        <w:right w:val="none" w:sz="0" w:space="0" w:color="auto"/>
      </w:divBdr>
    </w:div>
    <w:div w:id="1460763437">
      <w:bodyDiv w:val="1"/>
      <w:marLeft w:val="0"/>
      <w:marRight w:val="0"/>
      <w:marTop w:val="0"/>
      <w:marBottom w:val="0"/>
      <w:divBdr>
        <w:top w:val="none" w:sz="0" w:space="0" w:color="auto"/>
        <w:left w:val="none" w:sz="0" w:space="0" w:color="auto"/>
        <w:bottom w:val="none" w:sz="0" w:space="0" w:color="auto"/>
        <w:right w:val="none" w:sz="0" w:space="0" w:color="auto"/>
      </w:divBdr>
    </w:div>
    <w:div w:id="1619097416">
      <w:bodyDiv w:val="1"/>
      <w:marLeft w:val="0"/>
      <w:marRight w:val="0"/>
      <w:marTop w:val="0"/>
      <w:marBottom w:val="0"/>
      <w:divBdr>
        <w:top w:val="none" w:sz="0" w:space="0" w:color="auto"/>
        <w:left w:val="none" w:sz="0" w:space="0" w:color="auto"/>
        <w:bottom w:val="none" w:sz="0" w:space="0" w:color="auto"/>
        <w:right w:val="none" w:sz="0" w:space="0" w:color="auto"/>
      </w:divBdr>
    </w:div>
    <w:div w:id="1716389596">
      <w:bodyDiv w:val="1"/>
      <w:marLeft w:val="0"/>
      <w:marRight w:val="0"/>
      <w:marTop w:val="0"/>
      <w:marBottom w:val="0"/>
      <w:divBdr>
        <w:top w:val="none" w:sz="0" w:space="0" w:color="auto"/>
        <w:left w:val="none" w:sz="0" w:space="0" w:color="auto"/>
        <w:bottom w:val="none" w:sz="0" w:space="0" w:color="auto"/>
        <w:right w:val="none" w:sz="0" w:space="0" w:color="auto"/>
      </w:divBdr>
    </w:div>
    <w:div w:id="1844858812">
      <w:bodyDiv w:val="1"/>
      <w:marLeft w:val="0"/>
      <w:marRight w:val="0"/>
      <w:marTop w:val="0"/>
      <w:marBottom w:val="0"/>
      <w:divBdr>
        <w:top w:val="none" w:sz="0" w:space="0" w:color="auto"/>
        <w:left w:val="none" w:sz="0" w:space="0" w:color="auto"/>
        <w:bottom w:val="none" w:sz="0" w:space="0" w:color="auto"/>
        <w:right w:val="none" w:sz="0" w:space="0" w:color="auto"/>
      </w:divBdr>
      <w:divsChild>
        <w:div w:id="213154327">
          <w:marLeft w:val="446"/>
          <w:marRight w:val="0"/>
          <w:marTop w:val="0"/>
          <w:marBottom w:val="0"/>
          <w:divBdr>
            <w:top w:val="none" w:sz="0" w:space="0" w:color="auto"/>
            <w:left w:val="none" w:sz="0" w:space="0" w:color="auto"/>
            <w:bottom w:val="none" w:sz="0" w:space="0" w:color="auto"/>
            <w:right w:val="none" w:sz="0" w:space="0" w:color="auto"/>
          </w:divBdr>
        </w:div>
      </w:divsChild>
    </w:div>
    <w:div w:id="193941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emf"/><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Excel_Worksheet.xlsx"/><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Excel_Worksheet1.xlsx"/><Relationship Id="rId31" Type="http://schemas.openxmlformats.org/officeDocument/2006/relationships/image" Target="media/image18.jpeg"/><Relationship Id="rId44" Type="http://schemas.openxmlformats.org/officeDocument/2006/relationships/image" Target="media/image3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um" ma:contentTypeID="0x0101002B5BBFC655626741B7CB754A37DC25C2" ma:contentTypeVersion="14" ma:contentTypeDescription="Új dokumentum létrehozása." ma:contentTypeScope="" ma:versionID="23f8d2f53e20def4b61e9c250430f897">
  <xsd:schema xmlns:xsd="http://www.w3.org/2001/XMLSchema" xmlns:xs="http://www.w3.org/2001/XMLSchema" xmlns:p="http://schemas.microsoft.com/office/2006/metadata/properties" xmlns:ns2="6092a8dc-3e00-45e6-b1b9-c8e087d7ddd9" xmlns:ns3="3ceba177-9326-4cad-b877-713246cd3884" targetNamespace="http://schemas.microsoft.com/office/2006/metadata/properties" ma:root="true" ma:fieldsID="72351b0a6f9041602a782a8c6405d0be" ns2:_="" ns3:_="">
    <xsd:import namespace="6092a8dc-3e00-45e6-b1b9-c8e087d7ddd9"/>
    <xsd:import namespace="3ceba177-9326-4cad-b877-713246cd38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2a8dc-3e00-45e6-b1b9-c8e087d7ddd9" elementFormDefault="qualified">
    <xsd:import namespace="http://schemas.microsoft.com/office/2006/documentManagement/types"/>
    <xsd:import namespace="http://schemas.microsoft.com/office/infopath/2007/PartnerControls"/>
    <xsd:element name="SharedWithUsers" ma:index="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Megosztva részletekkel" ma:internalName="SharedWithDetails" ma:readOnly="true">
      <xsd:simpleType>
        <xsd:restriction base="dms:Note">
          <xsd:maxLength value="255"/>
        </xsd:restriction>
      </xsd:simpleType>
    </xsd:element>
    <xsd:element name="TaxCatchAll" ma:index="14" nillable="true" ma:displayName="Taxonomy Catch All Column" ma:hidden="true" ma:list="{179dbe8a-fef8-4b6c-8099-c755d1d7a1b0}" ma:internalName="TaxCatchAll" ma:showField="CatchAllData" ma:web="6092a8dc-3e00-45e6-b1b9-c8e087d7dd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ceba177-9326-4cad-b877-713246cd388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ca877ebb-f99b-4074-8dba-83d5413cfad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ceba177-9326-4cad-b877-713246cd3884">
      <Terms xmlns="http://schemas.microsoft.com/office/infopath/2007/PartnerControls"/>
    </lcf76f155ced4ddcb4097134ff3c332f>
    <TaxCatchAll xmlns="6092a8dc-3e00-45e6-b1b9-c8e087d7ddd9" xsi:nil="true"/>
  </documentManagement>
</p:properties>
</file>

<file path=customXml/itemProps1.xml><?xml version="1.0" encoding="utf-8"?>
<ds:datastoreItem xmlns:ds="http://schemas.openxmlformats.org/officeDocument/2006/customXml" ds:itemID="{CFEF8D0B-5E74-4DD6-9484-25170945529B}">
  <ds:schemaRefs>
    <ds:schemaRef ds:uri="http://schemas.microsoft.com/sharepoint/v3/contenttype/forms"/>
  </ds:schemaRefs>
</ds:datastoreItem>
</file>

<file path=customXml/itemProps2.xml><?xml version="1.0" encoding="utf-8"?>
<ds:datastoreItem xmlns:ds="http://schemas.openxmlformats.org/officeDocument/2006/customXml" ds:itemID="{DEA0863F-5D73-4E30-BDC6-392A8E322A49}">
  <ds:schemaRefs>
    <ds:schemaRef ds:uri="http://schemas.openxmlformats.org/officeDocument/2006/bibliography"/>
  </ds:schemaRefs>
</ds:datastoreItem>
</file>

<file path=customXml/itemProps3.xml><?xml version="1.0" encoding="utf-8"?>
<ds:datastoreItem xmlns:ds="http://schemas.openxmlformats.org/officeDocument/2006/customXml" ds:itemID="{0A9B7C12-B5AE-41D4-896E-1853526DE29B}"/>
</file>

<file path=customXml/itemProps4.xml><?xml version="1.0" encoding="utf-8"?>
<ds:datastoreItem xmlns:ds="http://schemas.openxmlformats.org/officeDocument/2006/customXml" ds:itemID="{12161A9E-8E58-4A47-9595-4FA74331C507}">
  <ds:schemaRefs>
    <ds:schemaRef ds:uri="http://schemas.microsoft.com/office/2006/metadata/properties"/>
    <ds:schemaRef ds:uri="http://schemas.microsoft.com/office/infopath/2007/PartnerControls"/>
    <ds:schemaRef ds:uri="3ceba177-9326-4cad-b877-713246cd3884"/>
    <ds:schemaRef ds:uri="6092a8dc-3e00-45e6-b1b9-c8e087d7ddd9"/>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50</Pages>
  <Words>13072</Words>
  <Characters>90199</Characters>
  <Application>Microsoft Office Word</Application>
  <DocSecurity>0</DocSecurity>
  <Lines>751</Lines>
  <Paragraphs>206</Paragraphs>
  <ScaleCrop>false</ScaleCrop>
  <HeadingPairs>
    <vt:vector size="2" baseType="variant">
      <vt:variant>
        <vt:lpstr>Cím</vt:lpstr>
      </vt:variant>
      <vt:variant>
        <vt:i4>1</vt:i4>
      </vt:variant>
    </vt:vector>
  </HeadingPairs>
  <TitlesOfParts>
    <vt:vector size="1" baseType="lpstr">
      <vt:lpstr/>
    </vt:vector>
  </TitlesOfParts>
  <Company>Hewlett-Packard</Company>
  <LinksUpToDate>false</LinksUpToDate>
  <CharactersWithSpaces>103065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Microsoft-fiók</dc:creator>
  <cp:keywords/>
  <dc:description/>
  <cp:lastModifiedBy>Selmeczi János Pál</cp:lastModifiedBy>
  <cp:revision>4</cp:revision>
  <dcterms:created xsi:type="dcterms:W3CDTF">2023-10-06T09:09:00Z</dcterms:created>
  <dcterms:modified xsi:type="dcterms:W3CDTF">2023-10-06T09:30:00Z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0x0101002B5BBFC655626741B7CB754A37DC25C2</vt:lpwstr>
  </property>
  <property fmtid="{D5CDD505-2E9C-101B-9397-08002B2CF9AE}" pid="3" name="MediaServiceImageTags">
    <vt:lpwstr/>
  </property>
</Properties>
</file>